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OVIDIO VELA</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Ovidio Vela is an information governance professional and strategic business analyst with over 15 years of experience across Fortune 500 petrochemical and EPC environments. He partners with business stakeholders, technical experts, legal compliance, IT, contractors, and senior executives to enable records management, document control, compliance, and information governance programs. His capabilities include enterprise content management, risk management, data mapping, root-cause analysis, process mapping, regulatory compliance monitoring, and cross-functional leadership. He aligned off-site storage data to defensibly destroy 100,000 boxes of obsolete records, saving hundreds of thousands of dollars annually, and eliminated 3.5 TB of redundant content through analytics-driven disposition workflows. He also built a SharePoint system for engineering document reviews and quality assurance/control on a multi-billion-dollar capital project.</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ARMA International Information Governance Professional (IGP) Certification – 2026</w:t>
      </w:r>
    </w:p>
    <w:p>
      <w:pPr>
        <w:pStyle w:val="ListBullet"/>
        <w:spacing w:before="0" w:after="0"/>
        <w:ind w:left="720" w:hanging="360"/>
        <w:jc w:val="both"/>
      </w:pPr>
      <w:r>
        <w:rPr>
          <w:rFonts w:ascii="Arial" w:hAnsi="Arial"/>
          <w:b w:val="0"/>
          <w:sz w:val="22"/>
        </w:rPr>
        <w:t>ARMA Professional Member, Conference Speaker, Webinar Contributor – 2022 to 2026</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FEB 2024 – MAY 2026</w:t>
      </w:r>
    </w:p>
    <w:p>
      <w:pPr>
        <w:spacing w:before="0" w:after="0"/>
        <w:jc w:val="left"/>
      </w:pPr>
      <w:r>
        <w:rPr>
          <w:rFonts w:ascii="Arial" w:hAnsi="Arial"/>
          <w:b/>
          <w:sz w:val="22"/>
        </w:rPr>
        <w:t>ACCESS SCIENCES</w:t>
      </w:r>
    </w:p>
    <w:p>
      <w:pPr>
        <w:spacing w:before="0" w:after="0"/>
        <w:jc w:val="left"/>
      </w:pPr>
      <w:r>
        <w:rPr>
          <w:rFonts w:ascii="Arial" w:hAnsi="Arial"/>
          <w:b/>
          <w:sz w:val="22"/>
        </w:rPr>
        <w:t>BUSINESS ANALYST</w:t>
      </w:r>
    </w:p>
    <w:p>
      <w:pPr>
        <w:pStyle w:val="ListBullet"/>
        <w:spacing w:before="0" w:after="0"/>
        <w:ind w:left="720" w:hanging="360"/>
        <w:jc w:val="both"/>
      </w:pPr>
      <w:r>
        <w:rPr>
          <w:rFonts w:ascii="Arial" w:hAnsi="Arial"/>
          <w:b w:val="0"/>
          <w:sz w:val="22"/>
        </w:rPr>
        <w:t>Reviewed and validated department information for migration, training, and disposition engagements.</w:t>
      </w:r>
    </w:p>
    <w:p>
      <w:pPr>
        <w:pStyle w:val="ListBullet"/>
        <w:spacing w:before="0" w:after="0"/>
        <w:ind w:left="720" w:hanging="360"/>
        <w:jc w:val="both"/>
      </w:pPr>
      <w:r>
        <w:rPr>
          <w:rFonts w:ascii="Arial" w:hAnsi="Arial"/>
          <w:b w:val="0"/>
          <w:sz w:val="22"/>
        </w:rPr>
        <w:t>Developed an information governance risk assessment framework and compliance monitoring strategy to prioritize high-risk areas and support timely issue resolution.</w:t>
      </w:r>
    </w:p>
    <w:p>
      <w:pPr>
        <w:pStyle w:val="ListBullet"/>
        <w:spacing w:before="0" w:after="0"/>
        <w:ind w:left="720" w:hanging="360"/>
        <w:jc w:val="both"/>
      </w:pPr>
      <w:r>
        <w:rPr>
          <w:rFonts w:ascii="Arial" w:hAnsi="Arial"/>
          <w:b w:val="0"/>
          <w:sz w:val="22"/>
        </w:rPr>
        <w:t>Maintained accurate documentation for audit trails and steering committee status reports and visuals.</w:t>
      </w:r>
    </w:p>
    <w:p>
      <w:pPr>
        <w:pStyle w:val="ListBullet"/>
        <w:spacing w:before="0" w:after="0"/>
        <w:ind w:left="720" w:hanging="360"/>
        <w:jc w:val="both"/>
      </w:pPr>
      <w:r>
        <w:rPr>
          <w:rFonts w:ascii="Arial" w:hAnsi="Arial"/>
          <w:b w:val="0"/>
          <w:sz w:val="22"/>
        </w:rPr>
        <w:t>Identified and escalated policy misalignment and followed up with stakeholders to resolve open items.</w:t>
      </w:r>
    </w:p>
    <w:p>
      <w:pPr>
        <w:pStyle w:val="ListBullet"/>
        <w:spacing w:before="0" w:after="0"/>
        <w:ind w:left="720" w:hanging="360"/>
        <w:jc w:val="both"/>
      </w:pPr>
      <w:r>
        <w:rPr>
          <w:rFonts w:ascii="Arial" w:hAnsi="Arial"/>
          <w:b w:val="0"/>
          <w:sz w:val="22"/>
        </w:rPr>
        <w:t>Championed compliant digital storage and disposition practices, reducing enterprise risk and improving data quality.</w:t>
      </w:r>
    </w:p>
    <w:p>
      <w:pPr>
        <w:spacing w:before="0" w:after="0"/>
      </w:pPr>
    </w:p>
    <w:p>
      <w:pPr>
        <w:spacing w:before="0" w:after="0"/>
        <w:jc w:val="left"/>
      </w:pPr>
      <w:r>
        <w:rPr>
          <w:rFonts w:ascii="Arial" w:hAnsi="Arial"/>
          <w:b/>
          <w:sz w:val="22"/>
        </w:rPr>
        <w:t>JUL 2022 – FEB 2024</w:t>
      </w:r>
    </w:p>
    <w:p>
      <w:pPr>
        <w:spacing w:before="0" w:after="0"/>
        <w:jc w:val="left"/>
      </w:pPr>
      <w:r>
        <w:rPr>
          <w:rFonts w:ascii="Arial" w:hAnsi="Arial"/>
          <w:b/>
          <w:sz w:val="22"/>
        </w:rPr>
        <w:t>MOTIVA</w:t>
      </w:r>
    </w:p>
    <w:p>
      <w:pPr>
        <w:spacing w:before="0" w:after="0"/>
        <w:jc w:val="left"/>
      </w:pPr>
      <w:r>
        <w:rPr>
          <w:rFonts w:ascii="Arial" w:hAnsi="Arial"/>
          <w:b/>
          <w:sz w:val="22"/>
        </w:rPr>
        <w:t>RECORDS ANALYST</w:t>
      </w:r>
    </w:p>
    <w:p>
      <w:pPr>
        <w:pStyle w:val="ListBullet"/>
        <w:spacing w:before="0" w:after="0"/>
        <w:ind w:left="720" w:hanging="360"/>
        <w:jc w:val="both"/>
      </w:pPr>
      <w:r>
        <w:rPr>
          <w:rFonts w:ascii="Arial" w:hAnsi="Arial"/>
          <w:b w:val="0"/>
          <w:sz w:val="22"/>
        </w:rPr>
        <w:t>Served as subject matter expert for electronic and physical records compliance workflows across corporate offices, refinery, and chemicals plant for a 3000+ employee Fortune 500 company.</w:t>
      </w:r>
    </w:p>
    <w:p>
      <w:pPr>
        <w:pStyle w:val="ListBullet"/>
        <w:spacing w:before="0" w:after="0"/>
        <w:ind w:left="720" w:hanging="360"/>
        <w:jc w:val="both"/>
      </w:pPr>
      <w:r>
        <w:rPr>
          <w:rFonts w:ascii="Arial" w:hAnsi="Arial"/>
          <w:b w:val="0"/>
          <w:sz w:val="22"/>
        </w:rPr>
        <w:t>Led and validated multiple concurrent department EDMS migration projects, ensuring confidentiality, file plan accuracy, policy adherence, and compliance audit trails.</w:t>
      </w:r>
    </w:p>
    <w:p>
      <w:pPr>
        <w:pStyle w:val="ListBullet"/>
        <w:spacing w:before="0" w:after="0"/>
        <w:ind w:left="720" w:hanging="360"/>
        <w:jc w:val="both"/>
      </w:pPr>
      <w:r>
        <w:rPr>
          <w:rFonts w:ascii="Arial" w:hAnsi="Arial"/>
          <w:b w:val="0"/>
          <w:sz w:val="22"/>
        </w:rPr>
        <w:t>Coordinated with departments to train staff on the compliance program, provide guidance to leadership, resolve issues, minimize data inconsistencies, and ensure adherence to policies and standards.</w:t>
      </w:r>
    </w:p>
    <w:p>
      <w:pPr>
        <w:pStyle w:val="ListBullet"/>
        <w:spacing w:before="0" w:after="0"/>
        <w:ind w:left="720" w:hanging="360"/>
        <w:jc w:val="both"/>
      </w:pPr>
      <w:r>
        <w:rPr>
          <w:rFonts w:ascii="Arial" w:hAnsi="Arial"/>
          <w:b w:val="0"/>
          <w:sz w:val="22"/>
        </w:rPr>
        <w:t>Developed a streamlined logistics package and site maps to ensure site security compliance and completeness of services at corporate offices, refinery, and chemicals plant.</w:t>
      </w:r>
    </w:p>
    <w:p>
      <w:pPr>
        <w:spacing w:before="0" w:after="0"/>
      </w:pPr>
    </w:p>
    <w:p>
      <w:pPr>
        <w:spacing w:before="0" w:after="0"/>
        <w:jc w:val="left"/>
      </w:pPr>
      <w:r>
        <w:rPr>
          <w:rFonts w:ascii="Arial" w:hAnsi="Arial"/>
          <w:b/>
          <w:sz w:val="22"/>
        </w:rPr>
        <w:t>JUL 2021 – JUN 2022</w:t>
      </w:r>
    </w:p>
    <w:p>
      <w:pPr>
        <w:spacing w:before="0" w:after="0"/>
        <w:jc w:val="left"/>
      </w:pPr>
      <w:r>
        <w:rPr>
          <w:rFonts w:ascii="Arial" w:hAnsi="Arial"/>
          <w:b/>
          <w:sz w:val="22"/>
        </w:rPr>
        <w:t>TPI AGENCY</w:t>
      </w:r>
    </w:p>
    <w:p>
      <w:pPr>
        <w:spacing w:before="0" w:after="0"/>
        <w:jc w:val="left"/>
      </w:pPr>
      <w:r>
        <w:rPr>
          <w:rFonts w:ascii="Arial" w:hAnsi="Arial"/>
          <w:b/>
          <w:sz w:val="22"/>
        </w:rPr>
        <w:t>DOCUMENT CONTROL SPECIALIST</w:t>
      </w:r>
    </w:p>
    <w:p>
      <w:pPr>
        <w:pStyle w:val="ListBullet"/>
        <w:spacing w:before="0" w:after="0"/>
        <w:ind w:left="720" w:hanging="360"/>
        <w:jc w:val="both"/>
      </w:pPr>
      <w:r>
        <w:rPr>
          <w:rFonts w:ascii="Arial" w:hAnsi="Arial"/>
          <w:b w:val="0"/>
          <w:sz w:val="22"/>
        </w:rPr>
        <w:t>Managed receipt, quality review, and distribution of engineering and vendor technical documentation, ensuring contractual compliance with client policy and project requirements.</w:t>
      </w:r>
    </w:p>
    <w:p>
      <w:pPr>
        <w:pStyle w:val="ListBullet"/>
        <w:spacing w:before="0" w:after="0"/>
        <w:ind w:left="720" w:hanging="360"/>
        <w:jc w:val="both"/>
      </w:pPr>
      <w:r>
        <w:rPr>
          <w:rFonts w:ascii="Arial" w:hAnsi="Arial"/>
          <w:b w:val="0"/>
          <w:sz w:val="22"/>
        </w:rPr>
        <w:t>Developed user acceptance tests and training for document control system upgrades, improving process consistency and knowledge management while reducing pain points during onboarding.</w:t>
      </w:r>
    </w:p>
    <w:p>
      <w:pPr>
        <w:spacing w:before="0" w:after="0"/>
      </w:pPr>
    </w:p>
    <w:p>
      <w:pPr>
        <w:spacing w:before="0" w:after="0"/>
        <w:jc w:val="left"/>
      </w:pPr>
      <w:r>
        <w:rPr>
          <w:rFonts w:ascii="Arial" w:hAnsi="Arial"/>
          <w:b/>
          <w:sz w:val="22"/>
        </w:rPr>
        <w:t>JUL 2018 – MAY 2020</w:t>
      </w:r>
    </w:p>
    <w:p>
      <w:pPr>
        <w:spacing w:before="0" w:after="0"/>
        <w:jc w:val="left"/>
      </w:pPr>
      <w:r>
        <w:rPr>
          <w:rFonts w:ascii="Arial" w:hAnsi="Arial"/>
          <w:b/>
          <w:sz w:val="22"/>
        </w:rPr>
        <w:t>TPI AGENCY</w:t>
      </w:r>
    </w:p>
    <w:p>
      <w:pPr>
        <w:spacing w:before="0" w:after="0"/>
        <w:jc w:val="left"/>
      </w:pPr>
      <w:r>
        <w:rPr>
          <w:rFonts w:ascii="Arial" w:hAnsi="Arial"/>
          <w:b/>
          <w:sz w:val="22"/>
        </w:rPr>
        <w:t>PROJECT INFORMATION MANAGEMENT LEAD</w:t>
      </w:r>
    </w:p>
    <w:p>
      <w:pPr>
        <w:pStyle w:val="ListBullet"/>
        <w:spacing w:before="0" w:after="0"/>
        <w:ind w:left="720" w:hanging="360"/>
        <w:jc w:val="both"/>
      </w:pPr>
      <w:r>
        <w:rPr>
          <w:rFonts w:ascii="Arial" w:hAnsi="Arial"/>
          <w:b w:val="0"/>
          <w:sz w:val="22"/>
        </w:rPr>
        <w:t>Led owner/operator project document control operations and provided process improvement and training to sustain contractual compliance of EPC data.</w:t>
      </w:r>
    </w:p>
    <w:p>
      <w:pPr>
        <w:pStyle w:val="ListBullet"/>
        <w:spacing w:before="0" w:after="0"/>
        <w:ind w:left="720" w:hanging="360"/>
        <w:jc w:val="both"/>
      </w:pPr>
      <w:r>
        <w:rPr>
          <w:rFonts w:ascii="Arial" w:hAnsi="Arial"/>
          <w:b w:val="0"/>
          <w:sz w:val="22"/>
        </w:rPr>
        <w:t>Directed creation and management of information storage systems, review workflows, and SharePoint sites for a multi-billion-dollar capital project.</w:t>
      </w:r>
    </w:p>
    <w:p>
      <w:pPr>
        <w:pStyle w:val="ListBullet"/>
        <w:spacing w:before="0" w:after="0"/>
        <w:ind w:left="720" w:hanging="360"/>
        <w:jc w:val="both"/>
      </w:pPr>
      <w:r>
        <w:rPr>
          <w:rFonts w:ascii="Arial" w:hAnsi="Arial"/>
          <w:b w:val="0"/>
          <w:sz w:val="22"/>
        </w:rPr>
        <w:t>Maintained audit-ready documentation, decision registers, and metadata provenance and coordinated issue resolution across engineering, vendor, and project management teams.</w:t>
      </w:r>
    </w:p>
    <w:p>
      <w:pPr>
        <w:spacing w:before="0" w:after="0"/>
      </w:pPr>
    </w:p>
    <w:p>
      <w:pPr>
        <w:spacing w:before="0" w:after="0"/>
        <w:jc w:val="left"/>
      </w:pPr>
      <w:r>
        <w:rPr>
          <w:rFonts w:ascii="Arial" w:hAnsi="Arial"/>
          <w:b/>
          <w:sz w:val="22"/>
        </w:rPr>
        <w:t>FEB 2013 – DEC 2017</w:t>
      </w:r>
    </w:p>
    <w:p>
      <w:pPr>
        <w:spacing w:before="0" w:after="0"/>
        <w:jc w:val="left"/>
      </w:pPr>
      <w:r>
        <w:rPr>
          <w:rFonts w:ascii="Arial" w:hAnsi="Arial"/>
          <w:b/>
          <w:sz w:val="22"/>
        </w:rPr>
        <w:t>TECHNIPFMC</w:t>
      </w:r>
    </w:p>
    <w:p>
      <w:pPr>
        <w:spacing w:before="0" w:after="0"/>
        <w:jc w:val="left"/>
      </w:pPr>
      <w:r>
        <w:rPr>
          <w:rFonts w:ascii="Arial" w:hAnsi="Arial"/>
          <w:b/>
          <w:sz w:val="22"/>
        </w:rPr>
        <w:t>PROJECT DOCUMENT CONTROL LEAD</w:t>
      </w:r>
    </w:p>
    <w:p>
      <w:pPr>
        <w:pStyle w:val="ListBullet"/>
        <w:spacing w:before="0" w:after="0"/>
        <w:ind w:left="720" w:hanging="360"/>
        <w:jc w:val="both"/>
      </w:pPr>
      <w:r>
        <w:rPr>
          <w:rFonts w:ascii="Arial" w:hAnsi="Arial"/>
          <w:b w:val="0"/>
          <w:sz w:val="22"/>
        </w:rPr>
        <w:t>Led a team of 16 document controllers responsible for quality review, timely distribution, and compliance of engineering and supplier documentation.</w:t>
      </w:r>
    </w:p>
    <w:p>
      <w:pPr>
        <w:pStyle w:val="ListBullet"/>
        <w:spacing w:before="0" w:after="0"/>
        <w:ind w:left="720" w:hanging="360"/>
        <w:jc w:val="both"/>
      </w:pPr>
      <w:r>
        <w:rPr>
          <w:rFonts w:ascii="Arial" w:hAnsi="Arial"/>
          <w:b w:val="0"/>
          <w:sz w:val="22"/>
        </w:rPr>
        <w:t>Ensured documentation and process accuracy, completeness, and adherence to regulatory requirements and project policies and standards.</w:t>
      </w:r>
    </w:p>
    <w:p>
      <w:pPr>
        <w:pStyle w:val="ListBullet"/>
        <w:spacing w:before="0" w:after="0"/>
        <w:ind w:left="720" w:hanging="360"/>
        <w:jc w:val="both"/>
      </w:pPr>
      <w:r>
        <w:rPr>
          <w:rFonts w:ascii="Arial" w:hAnsi="Arial"/>
          <w:b w:val="0"/>
          <w:sz w:val="22"/>
        </w:rPr>
        <w:t>Strengthened and improved engineering and construction work package documentation workflows and site document control standards and processes for a multi-billion-dollar grassroots capital project.</w:t>
      </w:r>
    </w:p>
    <w:p>
      <w:pPr>
        <w:pStyle w:val="ListBullet"/>
        <w:spacing w:before="0" w:after="0"/>
        <w:ind w:left="720" w:hanging="360"/>
        <w:jc w:val="both"/>
      </w:pPr>
      <w:r>
        <w:rPr>
          <w:rFonts w:ascii="Arial" w:hAnsi="Arial"/>
          <w:b w:val="0"/>
          <w:sz w:val="22"/>
        </w:rPr>
        <w:t>Traveled to Shang Hai, China, to train module fabrication leadership and office personnel on construction work package distribution procedures and material logistics checkpoints to ensure compliance, quality assurance, and project schedule adherence.</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5103"/>
        <w:gridCol w:w="5103"/>
      </w:tblGrid>
      <w:tr>
        <w:tc>
          <w:tcPr>
            <w:tcW w:type="dxa" w:w="5103"/>
          </w:tcPr>
          <w:p>
            <w:pPr>
              <w:spacing w:before="0" w:after="0"/>
              <w:jc w:val="left"/>
            </w:pPr>
            <w:r>
              <w:rPr>
                <w:rFonts w:ascii="Arial" w:hAnsi="Arial"/>
                <w:b/>
                <w:sz w:val="22"/>
              </w:rPr>
              <w:t>Access Sciences, Business Analyst</w:t>
            </w:r>
          </w:p>
        </w:tc>
        <w:tc>
          <w:tcPr>
            <w:tcW w:type="dxa" w:w="5103"/>
          </w:tcPr>
          <w:p>
            <w:pPr>
              <w:spacing w:before="0" w:after="0"/>
              <w:jc w:val="left"/>
            </w:pPr>
            <w:r>
              <w:rPr>
                <w:rFonts w:ascii="Arial" w:hAnsi="Arial"/>
                <w:b/>
                <w:sz w:val="22"/>
              </w:rPr>
              <w:t>Feb 2024 to May 2026</w:t>
            </w:r>
          </w:p>
        </w:tc>
      </w:tr>
      <w:tr>
        <w:tc>
          <w:tcPr>
            <w:tcW w:type="dxa" w:w="5103"/>
          </w:tcPr>
          <w:p>
            <w:pPr>
              <w:spacing w:before="0" w:after="0"/>
              <w:jc w:val="left"/>
            </w:pPr>
            <w:r>
              <w:rPr>
                <w:rFonts w:ascii="Arial" w:hAnsi="Arial"/>
                <w:b w:val="0"/>
                <w:sz w:val="22"/>
              </w:rPr>
              <w:t>Motiva, Records Analyst</w:t>
            </w:r>
          </w:p>
        </w:tc>
        <w:tc>
          <w:tcPr>
            <w:tcW w:type="dxa" w:w="5103"/>
          </w:tcPr>
          <w:p>
            <w:pPr>
              <w:spacing w:before="0" w:after="0"/>
              <w:jc w:val="left"/>
            </w:pPr>
            <w:r>
              <w:rPr>
                <w:rFonts w:ascii="Arial" w:hAnsi="Arial"/>
                <w:b w:val="0"/>
                <w:sz w:val="22"/>
              </w:rPr>
              <w:t>Jul 2022 to Feb 2024</w:t>
            </w:r>
          </w:p>
        </w:tc>
      </w:tr>
      <w:tr>
        <w:tc>
          <w:tcPr>
            <w:tcW w:type="dxa" w:w="5103"/>
          </w:tcPr>
          <w:p>
            <w:pPr>
              <w:spacing w:before="0" w:after="0"/>
              <w:jc w:val="left"/>
            </w:pPr>
            <w:r>
              <w:rPr>
                <w:rFonts w:ascii="Arial" w:hAnsi="Arial"/>
                <w:b w:val="0"/>
                <w:sz w:val="22"/>
              </w:rPr>
              <w:t>Brunel, Document Control Specialist</w:t>
            </w:r>
          </w:p>
        </w:tc>
        <w:tc>
          <w:tcPr>
            <w:tcW w:type="dxa" w:w="5103"/>
          </w:tcPr>
          <w:p>
            <w:pPr>
              <w:spacing w:before="0" w:after="0"/>
              <w:jc w:val="left"/>
            </w:pPr>
            <w:r>
              <w:rPr>
                <w:rFonts w:ascii="Arial" w:hAnsi="Arial"/>
                <w:b w:val="0"/>
                <w:sz w:val="22"/>
              </w:rPr>
              <w:t>Jul 2021 to Jun 2022</w:t>
            </w:r>
          </w:p>
        </w:tc>
      </w:tr>
      <w:tr>
        <w:tc>
          <w:tcPr>
            <w:tcW w:type="dxa" w:w="5103"/>
          </w:tcPr>
          <w:p>
            <w:pPr>
              <w:spacing w:before="0" w:after="0"/>
              <w:jc w:val="left"/>
            </w:pPr>
            <w:r>
              <w:rPr>
                <w:rFonts w:ascii="Arial" w:hAnsi="Arial"/>
                <w:b w:val="0"/>
                <w:sz w:val="22"/>
              </w:rPr>
              <w:t>Brunel, Project Information Management Lead</w:t>
            </w:r>
          </w:p>
        </w:tc>
        <w:tc>
          <w:tcPr>
            <w:tcW w:type="dxa" w:w="5103"/>
          </w:tcPr>
          <w:p>
            <w:pPr>
              <w:spacing w:before="0" w:after="0"/>
              <w:jc w:val="left"/>
            </w:pPr>
            <w:r>
              <w:rPr>
                <w:rFonts w:ascii="Arial" w:hAnsi="Arial"/>
                <w:b w:val="0"/>
                <w:sz w:val="22"/>
              </w:rPr>
              <w:t>Jul 2018 to May 2020</w:t>
            </w:r>
          </w:p>
        </w:tc>
      </w:tr>
      <w:tr>
        <w:tc>
          <w:tcPr>
            <w:tcW w:type="dxa" w:w="5103"/>
          </w:tcPr>
          <w:p>
            <w:pPr>
              <w:spacing w:before="0" w:after="0"/>
              <w:jc w:val="left"/>
            </w:pPr>
            <w:r>
              <w:rPr>
                <w:rFonts w:ascii="Arial" w:hAnsi="Arial"/>
                <w:b w:val="0"/>
                <w:sz w:val="22"/>
              </w:rPr>
              <w:t>TechnipFMC, Project Document Control Lead</w:t>
            </w:r>
          </w:p>
        </w:tc>
        <w:tc>
          <w:tcPr>
            <w:tcW w:type="dxa" w:w="5103"/>
          </w:tcPr>
          <w:p>
            <w:pPr>
              <w:spacing w:before="0" w:after="0"/>
              <w:jc w:val="left"/>
            </w:pPr>
            <w:r>
              <w:rPr>
                <w:rFonts w:ascii="Arial" w:hAnsi="Arial"/>
                <w:b w:val="0"/>
                <w:sz w:val="22"/>
              </w:rPr>
              <w:t>Feb 2013 to Dec 2017</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Information Governance</w:t>
      </w:r>
    </w:p>
    <w:p>
      <w:pPr>
        <w:pStyle w:val="ListBullet"/>
        <w:spacing w:before="0" w:after="0"/>
        <w:ind w:left="720" w:hanging="360"/>
        <w:jc w:val="both"/>
      </w:pPr>
      <w:r>
        <w:rPr>
          <w:rFonts w:ascii="Arial" w:hAnsi="Arial"/>
          <w:b w:val="0"/>
          <w:sz w:val="22"/>
        </w:rPr>
        <w:t>Enterprise Content Management</w:t>
      </w:r>
    </w:p>
    <w:p>
      <w:pPr>
        <w:pStyle w:val="ListBullet"/>
        <w:spacing w:before="0" w:after="0"/>
        <w:ind w:left="720" w:hanging="360"/>
        <w:jc w:val="both"/>
      </w:pPr>
      <w:r>
        <w:rPr>
          <w:rFonts w:ascii="Arial" w:hAnsi="Arial"/>
          <w:b w:val="0"/>
          <w:sz w:val="22"/>
        </w:rPr>
        <w:t>Records Management</w:t>
      </w:r>
    </w:p>
    <w:p>
      <w:pPr>
        <w:pStyle w:val="ListBullet"/>
        <w:spacing w:before="0" w:after="0"/>
        <w:ind w:left="720" w:hanging="360"/>
        <w:jc w:val="both"/>
      </w:pPr>
      <w:r>
        <w:rPr>
          <w:rFonts w:ascii="Arial" w:hAnsi="Arial"/>
          <w:b w:val="0"/>
          <w:sz w:val="22"/>
        </w:rPr>
        <w:t>Document Control</w:t>
      </w:r>
    </w:p>
    <w:p>
      <w:pPr>
        <w:pStyle w:val="ListBullet"/>
        <w:spacing w:before="0" w:after="0"/>
        <w:ind w:left="720" w:hanging="360"/>
        <w:jc w:val="both"/>
      </w:pPr>
      <w:r>
        <w:rPr>
          <w:rFonts w:ascii="Arial" w:hAnsi="Arial"/>
          <w:b w:val="0"/>
          <w:sz w:val="22"/>
        </w:rPr>
        <w:t>Stakeholder Management</w:t>
      </w:r>
    </w:p>
    <w:p>
      <w:pPr>
        <w:pStyle w:val="ListBullet"/>
        <w:spacing w:before="0" w:after="0"/>
        <w:ind w:left="720" w:hanging="360"/>
        <w:jc w:val="both"/>
      </w:pPr>
      <w:r>
        <w:rPr>
          <w:rFonts w:ascii="Arial" w:hAnsi="Arial"/>
          <w:b w:val="0"/>
          <w:sz w:val="22"/>
        </w:rPr>
        <w:t>Risk Management</w:t>
      </w:r>
    </w:p>
    <w:p>
      <w:pPr>
        <w:pStyle w:val="ListBullet"/>
        <w:spacing w:before="0" w:after="0"/>
        <w:ind w:left="720" w:hanging="360"/>
        <w:jc w:val="both"/>
      </w:pPr>
      <w:r>
        <w:rPr>
          <w:rFonts w:ascii="Arial" w:hAnsi="Arial"/>
          <w:b w:val="0"/>
          <w:sz w:val="22"/>
        </w:rPr>
        <w:t>Data Mapping</w:t>
      </w:r>
    </w:p>
    <w:p>
      <w:pPr>
        <w:pStyle w:val="ListBullet"/>
        <w:spacing w:before="0" w:after="0"/>
        <w:ind w:left="720" w:hanging="360"/>
        <w:jc w:val="both"/>
      </w:pPr>
      <w:r>
        <w:rPr>
          <w:rFonts w:ascii="Arial" w:hAnsi="Arial"/>
          <w:b w:val="0"/>
          <w:sz w:val="22"/>
        </w:rPr>
        <w:t>Root-Cause Analysis</w:t>
      </w:r>
    </w:p>
    <w:p>
      <w:pPr>
        <w:pStyle w:val="ListBullet"/>
        <w:spacing w:before="0" w:after="0"/>
        <w:ind w:left="720" w:hanging="360"/>
        <w:jc w:val="both"/>
      </w:pPr>
      <w:r>
        <w:rPr>
          <w:rFonts w:ascii="Arial" w:hAnsi="Arial"/>
          <w:b w:val="0"/>
          <w:sz w:val="22"/>
        </w:rPr>
        <w:t>Regulatory Compliance Monitoring</w:t>
      </w:r>
    </w:p>
    <w:p>
      <w:pPr>
        <w:pStyle w:val="ListBullet"/>
        <w:spacing w:before="0" w:after="0"/>
        <w:ind w:left="720" w:hanging="360"/>
        <w:jc w:val="both"/>
      </w:pPr>
      <w:r>
        <w:rPr>
          <w:rFonts w:ascii="Arial" w:hAnsi="Arial"/>
          <w:b w:val="0"/>
          <w:sz w:val="22"/>
        </w:rPr>
        <w:t>Process Mapping</w:t>
      </w:r>
    </w:p>
    <w:p>
      <w:pPr>
        <w:pStyle w:val="ListBullet"/>
        <w:spacing w:before="0" w:after="0"/>
        <w:ind w:left="720" w:hanging="360"/>
        <w:jc w:val="both"/>
      </w:pPr>
      <w:r>
        <w:rPr>
          <w:rFonts w:ascii="Arial" w:hAnsi="Arial"/>
          <w:b w:val="0"/>
          <w:sz w:val="22"/>
        </w:rPr>
        <w:t>Complex Analytical Problem Solving</w:t>
      </w:r>
    </w:p>
    <w:p>
      <w:pPr>
        <w:pStyle w:val="ListBullet"/>
        <w:spacing w:before="0" w:after="0"/>
        <w:ind w:left="720" w:hanging="360"/>
        <w:jc w:val="both"/>
      </w:pPr>
      <w:r>
        <w:rPr>
          <w:rFonts w:ascii="Arial" w:hAnsi="Arial"/>
          <w:b w:val="0"/>
          <w:sz w:val="22"/>
        </w:rPr>
        <w:t>Mentorship and Training</w:t>
      </w:r>
    </w:p>
    <w:p>
      <w:pPr>
        <w:pStyle w:val="ListBullet"/>
        <w:spacing w:before="0" w:after="0"/>
        <w:ind w:left="720" w:hanging="360"/>
        <w:jc w:val="both"/>
      </w:pPr>
      <w:r>
        <w:rPr>
          <w:rFonts w:ascii="Arial" w:hAnsi="Arial"/>
          <w:b w:val="0"/>
          <w:sz w:val="22"/>
        </w:rPr>
        <w:t>Team Leadership</w:t>
      </w:r>
    </w:p>
    <w:p>
      <w:pPr>
        <w:pStyle w:val="ListBullet"/>
        <w:spacing w:before="0" w:after="0"/>
        <w:ind w:left="720" w:hanging="360"/>
        <w:jc w:val="both"/>
      </w:pPr>
      <w:r>
        <w:rPr>
          <w:rFonts w:ascii="Arial" w:hAnsi="Arial"/>
          <w:b w:val="0"/>
          <w:sz w:val="22"/>
        </w:rPr>
        <w:t>Cross-Functional Coordination</w:t>
      </w:r>
    </w:p>
    <w:p>
      <w:pPr>
        <w:pStyle w:val="ListBullet"/>
        <w:spacing w:before="0" w:after="0"/>
        <w:ind w:left="720" w:hanging="360"/>
        <w:jc w:val="both"/>
      </w:pPr>
      <w:r>
        <w:rPr>
          <w:rFonts w:ascii="Arial" w:hAnsi="Arial"/>
          <w:b w:val="0"/>
          <w:sz w:val="22"/>
        </w:rPr>
        <w:t>Contract Lifecycle Management</w:t>
      </w:r>
    </w:p>
    <w:p>
      <w:pPr>
        <w:pStyle w:val="ListBullet"/>
        <w:spacing w:before="0" w:after="0"/>
        <w:ind w:left="720" w:hanging="360"/>
        <w:jc w:val="both"/>
      </w:pPr>
      <w:r>
        <w:rPr>
          <w:rFonts w:ascii="Arial" w:hAnsi="Arial"/>
          <w:b w:val="0"/>
          <w:sz w:val="22"/>
        </w:rPr>
        <w:t>Executive Buy-in</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