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SECCO JOSÉ</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SECCO José is a multi-skilled Oil &amp; Gas QA/QC Inspector with more than 20 years of experience in inspection and expediting activities. Since 1997, he has performed surveillance in accordance with ITPs, specifications and applicable documentation for major operators and EPCs. His scope covers pressure vessels, welding, line pipe, super-duplex tubing and umbilical materials, coatings, flexibles, heat exchangers, valves and rotating equipment. He has acted as a CPY representative during Pre-Inspection Meetings and worked in resident positions covering complete order surveillance, including sub-suppliers. Earlier, as an NDT and Quality Manager, he established NDT units, trained operators under ASNT rules, supported client qualification, and obtained API and ISO 9002 certifications.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1977 – A LEVEL equivalent</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COFREND LEVEL III UT / MT (expired)</w:t>
      </w:r>
    </w:p>
    <w:p>
      <w:pPr>
        <w:pStyle w:val="ListBullet"/>
        <w:spacing w:before="0" w:after="0"/>
        <w:ind w:left="720" w:hanging="360"/>
        <w:jc w:val="both"/>
      </w:pPr>
      <w:r>
        <w:rPr>
          <w:rFonts w:ascii="Arial" w:hAnsi="Arial"/>
          <w:b w:val="0"/>
          <w:sz w:val="22"/>
        </w:rPr>
        <w:t>ARAMCO – QUALIFIED. SAP N° 80014616 – QM 05 – 06 - 41</w:t>
      </w:r>
    </w:p>
    <w:p>
      <w:pPr>
        <w:pStyle w:val="ListBullet"/>
        <w:spacing w:before="0" w:after="0"/>
        <w:ind w:left="720" w:hanging="360"/>
        <w:jc w:val="both"/>
      </w:pPr>
      <w:r>
        <w:rPr>
          <w:rFonts w:ascii="Arial" w:hAnsi="Arial"/>
          <w:b w:val="0"/>
          <w:sz w:val="22"/>
        </w:rPr>
        <w:t>ASME Wind turbine manufacturing inspector</w:t>
      </w:r>
    </w:p>
    <w:p>
      <w:pPr>
        <w:pStyle w:val="ListBullet"/>
        <w:spacing w:before="0" w:after="0"/>
        <w:ind w:left="720" w:hanging="360"/>
        <w:jc w:val="both"/>
      </w:pPr>
      <w:r>
        <w:rPr>
          <w:rFonts w:ascii="Arial" w:hAnsi="Arial"/>
          <w:b w:val="0"/>
          <w:sz w:val="22"/>
        </w:rPr>
        <w:t>Pressure vessel, Pumps, Shell and tube heat exchangers, Shop &amp; fabrication piping, valves training courses – Fluor certificates</w:t>
      </w:r>
    </w:p>
    <w:p>
      <w:pPr>
        <w:pStyle w:val="ListBullet"/>
        <w:spacing w:before="0" w:after="0"/>
        <w:ind w:left="720" w:hanging="360"/>
        <w:jc w:val="both"/>
      </w:pPr>
      <w:r>
        <w:rPr>
          <w:rFonts w:ascii="Arial" w:hAnsi="Arial"/>
          <w:b w:val="0"/>
          <w:sz w:val="22"/>
        </w:rPr>
        <w:t>Training API SIRE (Rotating API: 610, 611, 614, 617, 618, 619, 677, 677, 682, ANSI HI 14.6)</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API17J</w:t>
      </w:r>
    </w:p>
    <w:p>
      <w:pPr>
        <w:pStyle w:val="ListBullet"/>
        <w:spacing w:before="0" w:after="0"/>
        <w:ind w:left="720" w:hanging="360"/>
        <w:jc w:val="both"/>
      </w:pPr>
      <w:r>
        <w:rPr>
          <w:rFonts w:ascii="Arial" w:hAnsi="Arial"/>
          <w:b w:val="0"/>
          <w:sz w:val="22"/>
        </w:rPr>
        <w:t>ASME (SEC. VIII-Div-1 &amp; Div-2, RTP-1, SEC. II, I etc.)</w:t>
      </w:r>
    </w:p>
    <w:p>
      <w:pPr>
        <w:pStyle w:val="ListBullet"/>
        <w:spacing w:before="0" w:after="0"/>
        <w:ind w:left="720" w:hanging="360"/>
        <w:jc w:val="both"/>
      </w:pPr>
      <w:r>
        <w:rPr>
          <w:rFonts w:ascii="Arial" w:hAnsi="Arial"/>
          <w:b w:val="0"/>
          <w:sz w:val="22"/>
        </w:rPr>
        <w:t>PD 5500-G</w:t>
      </w:r>
    </w:p>
    <w:p>
      <w:pPr>
        <w:pStyle w:val="ListBullet"/>
        <w:spacing w:before="0" w:after="0"/>
        <w:ind w:left="720" w:hanging="360"/>
        <w:jc w:val="both"/>
      </w:pPr>
      <w:r>
        <w:rPr>
          <w:rFonts w:ascii="Arial" w:hAnsi="Arial"/>
          <w:b w:val="0"/>
          <w:sz w:val="22"/>
        </w:rPr>
        <w:t>ASME-UHX</w:t>
      </w:r>
    </w:p>
    <w:p>
      <w:pPr>
        <w:pStyle w:val="ListBullet"/>
        <w:spacing w:before="0" w:after="0"/>
        <w:ind w:left="720" w:hanging="360"/>
        <w:jc w:val="both"/>
      </w:pPr>
      <w:r>
        <w:rPr>
          <w:rFonts w:ascii="Arial" w:hAnsi="Arial"/>
          <w:b w:val="0"/>
          <w:sz w:val="22"/>
        </w:rPr>
        <w:t>TEMA</w:t>
      </w:r>
    </w:p>
    <w:p>
      <w:pPr>
        <w:pStyle w:val="ListBullet"/>
        <w:spacing w:before="0" w:after="0"/>
        <w:ind w:left="720" w:hanging="360"/>
        <w:jc w:val="both"/>
      </w:pPr>
      <w:r>
        <w:rPr>
          <w:rFonts w:ascii="Arial" w:hAnsi="Arial"/>
          <w:b w:val="0"/>
          <w:sz w:val="22"/>
        </w:rPr>
        <w:t>API-660</w:t>
      </w:r>
    </w:p>
    <w:p>
      <w:pPr>
        <w:pStyle w:val="ListBullet"/>
        <w:spacing w:before="0" w:after="0"/>
        <w:ind w:left="720" w:hanging="360"/>
        <w:jc w:val="both"/>
      </w:pPr>
      <w:r>
        <w:rPr>
          <w:rFonts w:ascii="Arial" w:hAnsi="Arial"/>
          <w:b w:val="0"/>
          <w:sz w:val="22"/>
        </w:rPr>
        <w:t>API-650</w:t>
      </w:r>
    </w:p>
    <w:p>
      <w:pPr>
        <w:pStyle w:val="ListBullet"/>
        <w:spacing w:before="0" w:after="0"/>
        <w:ind w:left="720" w:hanging="360"/>
        <w:jc w:val="both"/>
      </w:pPr>
      <w:r>
        <w:rPr>
          <w:rFonts w:ascii="Arial" w:hAnsi="Arial"/>
          <w:b w:val="0"/>
          <w:sz w:val="22"/>
        </w:rPr>
        <w:t>WRC-107/297</w:t>
      </w:r>
    </w:p>
    <w:p>
      <w:pPr>
        <w:pStyle w:val="ListBullet"/>
        <w:spacing w:before="0" w:after="0"/>
        <w:ind w:left="720" w:hanging="360"/>
        <w:jc w:val="both"/>
      </w:pPr>
      <w:r>
        <w:rPr>
          <w:rFonts w:ascii="Arial" w:hAnsi="Arial"/>
          <w:b w:val="0"/>
          <w:sz w:val="22"/>
        </w:rPr>
        <w:t>B31.3</w:t>
      </w:r>
    </w:p>
    <w:p>
      <w:pPr>
        <w:pStyle w:val="ListBullet"/>
        <w:spacing w:before="0" w:after="0"/>
        <w:ind w:left="720" w:hanging="360"/>
        <w:jc w:val="both"/>
      </w:pPr>
      <w:r>
        <w:rPr>
          <w:rFonts w:ascii="Arial" w:hAnsi="Arial"/>
          <w:b w:val="0"/>
          <w:sz w:val="22"/>
        </w:rPr>
        <w:t>B31.1</w:t>
      </w:r>
    </w:p>
    <w:p>
      <w:pPr>
        <w:pStyle w:val="ListBullet"/>
        <w:spacing w:before="0" w:after="0"/>
        <w:ind w:left="720" w:hanging="360"/>
        <w:jc w:val="both"/>
      </w:pPr>
      <w:r>
        <w:rPr>
          <w:rFonts w:ascii="Arial" w:hAnsi="Arial"/>
          <w:b w:val="0"/>
          <w:sz w:val="22"/>
        </w:rPr>
        <w:t>FEA</w:t>
      </w:r>
    </w:p>
    <w:p>
      <w:pPr>
        <w:pStyle w:val="ListBullet"/>
        <w:spacing w:before="0" w:after="0"/>
        <w:ind w:left="720" w:hanging="360"/>
        <w:jc w:val="both"/>
      </w:pPr>
      <w:r>
        <w:rPr>
          <w:rFonts w:ascii="Arial" w:hAnsi="Arial"/>
          <w:b w:val="0"/>
          <w:sz w:val="22"/>
        </w:rPr>
        <w:t>AISC</w:t>
      </w:r>
    </w:p>
    <w:p>
      <w:pPr>
        <w:pStyle w:val="ListBullet"/>
        <w:spacing w:before="0" w:after="0"/>
        <w:ind w:left="720" w:hanging="360"/>
        <w:jc w:val="both"/>
      </w:pPr>
      <w:r>
        <w:rPr>
          <w:rFonts w:ascii="Arial" w:hAnsi="Arial"/>
          <w:b w:val="0"/>
          <w:sz w:val="22"/>
        </w:rPr>
        <w:t>ASCE</w:t>
      </w:r>
    </w:p>
    <w:p>
      <w:pPr>
        <w:pStyle w:val="ListBullet"/>
        <w:spacing w:before="0" w:after="0"/>
        <w:ind w:left="720" w:hanging="360"/>
        <w:jc w:val="both"/>
      </w:pPr>
      <w:r>
        <w:rPr>
          <w:rFonts w:ascii="Arial" w:hAnsi="Arial"/>
          <w:b w:val="0"/>
          <w:sz w:val="22"/>
        </w:rPr>
        <w:t>IBC</w:t>
      </w:r>
    </w:p>
    <w:p>
      <w:pPr>
        <w:pStyle w:val="ListBullet"/>
        <w:spacing w:before="0" w:after="0"/>
        <w:ind w:left="720" w:hanging="360"/>
        <w:jc w:val="both"/>
      </w:pPr>
      <w:r>
        <w:rPr>
          <w:rFonts w:ascii="Arial" w:hAnsi="Arial"/>
          <w:b w:val="0"/>
          <w:sz w:val="22"/>
        </w:rPr>
        <w:t>UBC</w:t>
      </w:r>
    </w:p>
    <w:p>
      <w:pPr>
        <w:pStyle w:val="ListBullet"/>
        <w:spacing w:before="0" w:after="0"/>
        <w:ind w:left="720" w:hanging="360"/>
        <w:jc w:val="both"/>
      </w:pPr>
      <w:r>
        <w:rPr>
          <w:rFonts w:ascii="Arial" w:hAnsi="Arial"/>
          <w:b w:val="0"/>
          <w:sz w:val="22"/>
        </w:rPr>
        <w:t>IS-875</w:t>
      </w:r>
    </w:p>
    <w:p>
      <w:pPr>
        <w:pStyle w:val="ListBullet"/>
        <w:spacing w:before="0" w:after="0"/>
        <w:ind w:left="720" w:hanging="360"/>
        <w:jc w:val="both"/>
      </w:pPr>
      <w:r>
        <w:rPr>
          <w:rFonts w:ascii="Arial" w:hAnsi="Arial"/>
          <w:b w:val="0"/>
          <w:sz w:val="22"/>
        </w:rPr>
        <w:t>IS-1893</w:t>
      </w:r>
    </w:p>
    <w:p>
      <w:pPr>
        <w:pStyle w:val="ListBullet"/>
        <w:spacing w:before="0" w:after="0"/>
        <w:ind w:left="720" w:hanging="360"/>
        <w:jc w:val="both"/>
      </w:pPr>
      <w:r>
        <w:rPr>
          <w:rFonts w:ascii="Arial" w:hAnsi="Arial"/>
          <w:b w:val="0"/>
          <w:sz w:val="22"/>
        </w:rPr>
        <w:t>API 537</w:t>
      </w:r>
    </w:p>
    <w:p>
      <w:pPr>
        <w:pStyle w:val="ListBullet"/>
        <w:spacing w:before="0" w:after="0"/>
        <w:ind w:left="720" w:hanging="360"/>
        <w:jc w:val="both"/>
      </w:pPr>
      <w:r>
        <w:rPr>
          <w:rFonts w:ascii="Arial" w:hAnsi="Arial"/>
          <w:b w:val="0"/>
          <w:sz w:val="22"/>
        </w:rPr>
        <w:t>ASTM D3276</w:t>
      </w:r>
    </w:p>
    <w:p>
      <w:pPr>
        <w:pStyle w:val="ListBullet"/>
        <w:spacing w:before="0" w:after="0"/>
        <w:ind w:left="720" w:hanging="360"/>
        <w:jc w:val="both"/>
      </w:pPr>
      <w:r>
        <w:rPr>
          <w:rFonts w:ascii="Arial" w:hAnsi="Arial"/>
          <w:b w:val="0"/>
          <w:sz w:val="22"/>
        </w:rPr>
        <w:t>NACE</w:t>
      </w:r>
    </w:p>
    <w:p>
      <w:pPr>
        <w:pStyle w:val="ListBullet"/>
        <w:spacing w:before="0" w:after="0"/>
        <w:ind w:left="720" w:hanging="360"/>
        <w:jc w:val="both"/>
      </w:pPr>
      <w:r>
        <w:rPr>
          <w:rFonts w:ascii="Arial" w:hAnsi="Arial"/>
          <w:b w:val="0"/>
          <w:sz w:val="22"/>
        </w:rPr>
        <w:t>API 5L</w:t>
      </w:r>
    </w:p>
    <w:p>
      <w:pPr>
        <w:pStyle w:val="ListBullet"/>
        <w:spacing w:before="0" w:after="0"/>
        <w:ind w:left="720" w:hanging="360"/>
        <w:jc w:val="both"/>
      </w:pPr>
      <w:r>
        <w:rPr>
          <w:rFonts w:ascii="Arial" w:hAnsi="Arial"/>
          <w:b w:val="0"/>
          <w:sz w:val="22"/>
        </w:rPr>
        <w:t>ASTM A106</w:t>
      </w:r>
    </w:p>
    <w:p>
      <w:pPr>
        <w:pStyle w:val="ListBullet"/>
        <w:spacing w:before="0" w:after="0"/>
        <w:ind w:left="720" w:hanging="360"/>
        <w:jc w:val="both"/>
      </w:pPr>
      <w:r>
        <w:rPr>
          <w:rFonts w:ascii="Arial" w:hAnsi="Arial"/>
          <w:b w:val="0"/>
          <w:sz w:val="22"/>
        </w:rPr>
        <w:t>ASTM A530</w:t>
      </w:r>
    </w:p>
    <w:p>
      <w:pPr>
        <w:pStyle w:val="ListBullet"/>
        <w:spacing w:before="0" w:after="0"/>
        <w:ind w:left="720" w:hanging="360"/>
        <w:jc w:val="both"/>
      </w:pPr>
      <w:r>
        <w:rPr>
          <w:rFonts w:ascii="Arial" w:hAnsi="Arial"/>
          <w:b w:val="0"/>
          <w:sz w:val="22"/>
        </w:rPr>
        <w:t>GTAW</w:t>
      </w:r>
    </w:p>
    <w:p>
      <w:pPr>
        <w:pStyle w:val="ListBullet"/>
        <w:spacing w:before="0" w:after="0"/>
        <w:ind w:left="720" w:hanging="360"/>
        <w:jc w:val="both"/>
      </w:pPr>
      <w:r>
        <w:rPr>
          <w:rFonts w:ascii="Arial" w:hAnsi="Arial"/>
          <w:b w:val="0"/>
          <w:sz w:val="22"/>
        </w:rPr>
        <w:t>GMAW</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1997 – PRESENT</w:t>
      </w:r>
    </w:p>
    <w:p>
      <w:pPr>
        <w:spacing w:before="0" w:after="0"/>
        <w:jc w:val="left"/>
      </w:pPr>
      <w:r>
        <w:rPr>
          <w:rFonts w:ascii="Arial" w:hAnsi="Arial"/>
          <w:b/>
          <w:sz w:val="22"/>
        </w:rPr>
      </w:r>
    </w:p>
    <w:p>
      <w:pPr>
        <w:spacing w:before="0" w:after="0"/>
        <w:jc w:val="left"/>
      </w:pPr>
      <w:r>
        <w:rPr>
          <w:rFonts w:ascii="Arial" w:hAnsi="Arial"/>
          <w:b/>
          <w:sz w:val="22"/>
        </w:rPr>
        <w:t>QA/QC INSPECTOR</w:t>
      </w:r>
    </w:p>
    <w:p>
      <w:pPr>
        <w:pStyle w:val="ListBullet"/>
        <w:spacing w:before="0" w:after="0"/>
        <w:ind w:left="720" w:hanging="360"/>
        <w:jc w:val="both"/>
      </w:pPr>
      <w:r>
        <w:rPr>
          <w:rFonts w:ascii="Arial" w:hAnsi="Arial"/>
          <w:b w:val="0"/>
          <w:sz w:val="22"/>
        </w:rPr>
        <w:t>Performed several surveillance activities in accordance with applicable documentation, including ITPs and specifications, on behalf of major Oil &amp; Gas operators and EPCs.</w:t>
      </w:r>
    </w:p>
    <w:p>
      <w:pPr>
        <w:pStyle w:val="ListBullet"/>
        <w:spacing w:before="0" w:after="0"/>
        <w:ind w:left="720" w:hanging="360"/>
        <w:jc w:val="both"/>
      </w:pPr>
      <w:r>
        <w:rPr>
          <w:rFonts w:ascii="Arial" w:hAnsi="Arial"/>
          <w:b w:val="0"/>
          <w:sz w:val="22"/>
        </w:rPr>
        <w:t>Acted as CPY representative during Pre-Inspection Meetings.</w:t>
      </w:r>
    </w:p>
    <w:p>
      <w:pPr>
        <w:pStyle w:val="ListBullet"/>
        <w:spacing w:before="0" w:after="0"/>
        <w:ind w:left="720" w:hanging="360"/>
        <w:jc w:val="both"/>
      </w:pPr>
      <w:r>
        <w:rPr>
          <w:rFonts w:ascii="Arial" w:hAnsi="Arial"/>
          <w:b w:val="0"/>
          <w:sz w:val="22"/>
        </w:rPr>
        <w:t>Held resident positions covering full surveillance of orders, including sub-suppliers.</w:t>
      </w:r>
    </w:p>
    <w:p>
      <w:pPr>
        <w:pStyle w:val="ListBullet"/>
        <w:spacing w:before="0" w:after="0"/>
        <w:ind w:left="720" w:hanging="360"/>
        <w:jc w:val="both"/>
      </w:pPr>
      <w:r>
        <w:rPr>
          <w:rFonts w:ascii="Arial" w:hAnsi="Arial"/>
          <w:b w:val="0"/>
          <w:sz w:val="22"/>
        </w:rPr>
        <w:t>Performed inspection and expediting activities covering pressure vessels, welding, line pipe, super-duplex tubing and umbilicals, loading arms, coatings, flexibles, heat exchangers, valves, compressors, pumps and mixing pumps.</w:t>
      </w:r>
    </w:p>
    <w:p>
      <w:pPr>
        <w:spacing w:before="0" w:after="0"/>
      </w:pPr>
    </w:p>
    <w:p>
      <w:pPr>
        <w:spacing w:before="0" w:after="0"/>
        <w:jc w:val="left"/>
      </w:pPr>
      <w:r>
        <w:rPr>
          <w:rFonts w:ascii="Arial" w:hAnsi="Arial"/>
          <w:b/>
          <w:sz w:val="22"/>
        </w:rPr>
        <w:t>1997 – 1997</w:t>
      </w:r>
    </w:p>
    <w:p>
      <w:pPr>
        <w:spacing w:before="0" w:after="0"/>
        <w:jc w:val="left"/>
      </w:pPr>
      <w:r>
        <w:rPr>
          <w:rFonts w:ascii="Arial" w:hAnsi="Arial"/>
          <w:b/>
          <w:sz w:val="22"/>
        </w:rPr>
        <w:t>VARIOUS CLIENTS</w:t>
      </w:r>
    </w:p>
    <w:p>
      <w:pPr>
        <w:spacing w:before="0" w:after="0"/>
        <w:jc w:val="left"/>
      </w:pPr>
      <w:r>
        <w:rPr>
          <w:rFonts w:ascii="Arial" w:hAnsi="Arial"/>
          <w:b/>
          <w:sz w:val="22"/>
        </w:rPr>
        <w:t>NDT MANAGER</w:t>
      </w:r>
    </w:p>
    <w:p>
      <w:pPr>
        <w:pStyle w:val="ListBullet"/>
        <w:spacing w:before="0" w:after="0"/>
        <w:ind w:left="720" w:hanging="360"/>
        <w:jc w:val="both"/>
      </w:pPr>
      <w:r>
        <w:rPr>
          <w:rFonts w:ascii="Arial" w:hAnsi="Arial"/>
          <w:b w:val="0"/>
          <w:sz w:val="22"/>
        </w:rPr>
        <w:t>Performed radiographic testing at Notre Dame de Gravenchon.</w:t>
      </w:r>
    </w:p>
    <w:p>
      <w:pPr>
        <w:pStyle w:val="ListBullet"/>
        <w:spacing w:before="0" w:after="0"/>
        <w:ind w:left="720" w:hanging="360"/>
        <w:jc w:val="both"/>
      </w:pPr>
      <w:r>
        <w:rPr>
          <w:rFonts w:ascii="Arial" w:hAnsi="Arial"/>
          <w:b w:val="0"/>
          <w:sz w:val="22"/>
        </w:rPr>
        <w:t>Managed UT/MT subcontracting activities at Mobil, Shell, Exxon and Total refineries.</w:t>
      </w:r>
    </w:p>
    <w:p>
      <w:pPr>
        <w:pStyle w:val="ListBullet"/>
        <w:spacing w:before="0" w:after="0"/>
        <w:ind w:left="720" w:hanging="360"/>
        <w:jc w:val="both"/>
      </w:pPr>
      <w:r>
        <w:rPr>
          <w:rFonts w:ascii="Arial" w:hAnsi="Arial"/>
          <w:b w:val="0"/>
          <w:sz w:val="22"/>
        </w:rPr>
        <w:t>Performed UT field inspection at the Trouvay Cauvin Le Havre plant, including full-length UT inspection.</w:t>
      </w:r>
    </w:p>
    <w:p>
      <w:pPr>
        <w:spacing w:before="0" w:after="0"/>
      </w:pPr>
    </w:p>
    <w:p>
      <w:pPr>
        <w:spacing w:before="0" w:after="0"/>
        <w:jc w:val="left"/>
      </w:pPr>
      <w:r>
        <w:rPr>
          <w:rFonts w:ascii="Arial" w:hAnsi="Arial"/>
          <w:b/>
          <w:sz w:val="22"/>
        </w:rPr>
        <w:t>1993 – 1996</w:t>
      </w:r>
    </w:p>
    <w:p>
      <w:pPr>
        <w:spacing w:before="0" w:after="0"/>
        <w:jc w:val="left"/>
      </w:pPr>
      <w:r>
        <w:rPr>
          <w:rFonts w:ascii="Arial" w:hAnsi="Arial"/>
          <w:b/>
          <w:sz w:val="22"/>
        </w:rPr>
        <w:t>VALLOUREC OIL &amp; GAS / PT CITRA TUBINDO</w:t>
      </w:r>
    </w:p>
    <w:p>
      <w:pPr>
        <w:spacing w:before="0" w:after="0"/>
        <w:jc w:val="left"/>
      </w:pPr>
      <w:r>
        <w:rPr>
          <w:rFonts w:ascii="Arial" w:hAnsi="Arial"/>
          <w:b/>
          <w:sz w:val="22"/>
        </w:rPr>
        <w:t>NDT MANAGER</w:t>
      </w:r>
    </w:p>
    <w:p>
      <w:pPr>
        <w:pStyle w:val="ListBullet"/>
        <w:spacing w:before="0" w:after="0"/>
        <w:ind w:left="720" w:hanging="360"/>
        <w:jc w:val="both"/>
      </w:pPr>
      <w:r>
        <w:rPr>
          <w:rFonts w:ascii="Arial" w:hAnsi="Arial"/>
          <w:b w:val="0"/>
          <w:sz w:val="22"/>
        </w:rPr>
        <w:t>Worked as Quality and NDT Manager during secondment in Singapore and Batam Island.</w:t>
      </w:r>
    </w:p>
    <w:p>
      <w:pPr>
        <w:pStyle w:val="ListBullet"/>
        <w:spacing w:before="0" w:after="0"/>
        <w:ind w:left="720" w:hanging="360"/>
        <w:jc w:val="both"/>
      </w:pPr>
      <w:r>
        <w:rPr>
          <w:rFonts w:ascii="Arial" w:hAnsi="Arial"/>
          <w:b w:val="0"/>
          <w:sz w:val="22"/>
        </w:rPr>
        <w:t>Defined, finalized and started three NDT units: Amalog Sonoscope, Vetcoscan and SEA.</w:t>
      </w:r>
    </w:p>
    <w:p>
      <w:pPr>
        <w:pStyle w:val="ListBullet"/>
        <w:spacing w:before="0" w:after="0"/>
        <w:ind w:left="720" w:hanging="360"/>
        <w:jc w:val="both"/>
      </w:pPr>
      <w:r>
        <w:rPr>
          <w:rFonts w:ascii="Arial" w:hAnsi="Arial"/>
          <w:b w:val="0"/>
          <w:sz w:val="22"/>
        </w:rPr>
        <w:t>Trained and certified NDT operators following ASNT rules.</w:t>
      </w:r>
    </w:p>
    <w:p>
      <w:pPr>
        <w:pStyle w:val="ListBullet"/>
        <w:spacing w:before="0" w:after="0"/>
        <w:ind w:left="720" w:hanging="360"/>
        <w:jc w:val="both"/>
      </w:pPr>
      <w:r>
        <w:rPr>
          <w:rFonts w:ascii="Arial" w:hAnsi="Arial"/>
          <w:b w:val="0"/>
          <w:sz w:val="22"/>
        </w:rPr>
        <w:t>Obtained qualification of NDT units by Mobil, Total and Shell.</w:t>
      </w:r>
    </w:p>
    <w:p>
      <w:pPr>
        <w:pStyle w:val="ListBullet"/>
        <w:spacing w:before="0" w:after="0"/>
        <w:ind w:left="720" w:hanging="360"/>
        <w:jc w:val="both"/>
      </w:pPr>
      <w:r>
        <w:rPr>
          <w:rFonts w:ascii="Arial" w:hAnsi="Arial"/>
          <w:b w:val="0"/>
          <w:sz w:val="22"/>
        </w:rPr>
        <w:t>Took over the Quality department.</w:t>
      </w:r>
    </w:p>
    <w:p>
      <w:pPr>
        <w:pStyle w:val="ListBullet"/>
        <w:spacing w:before="0" w:after="0"/>
        <w:ind w:left="720" w:hanging="360"/>
        <w:jc w:val="both"/>
      </w:pPr>
      <w:r>
        <w:rPr>
          <w:rFonts w:ascii="Arial" w:hAnsi="Arial"/>
          <w:b w:val="0"/>
          <w:sz w:val="22"/>
        </w:rPr>
        <w:t>Prepared API certification, obtained in June 1995.</w:t>
      </w:r>
    </w:p>
    <w:p>
      <w:pPr>
        <w:pStyle w:val="ListBullet"/>
        <w:spacing w:before="0" w:after="0"/>
        <w:ind w:left="720" w:hanging="360"/>
        <w:jc w:val="both"/>
      </w:pPr>
      <w:r>
        <w:rPr>
          <w:rFonts w:ascii="Arial" w:hAnsi="Arial"/>
          <w:b w:val="0"/>
          <w:sz w:val="22"/>
        </w:rPr>
        <w:t>Prepared ISO 9002 certification, obtained in May 1996.</w:t>
      </w:r>
    </w:p>
    <w:p>
      <w:pPr>
        <w:pStyle w:val="ListBullet"/>
        <w:spacing w:before="0" w:after="0"/>
        <w:ind w:left="720" w:hanging="360"/>
        <w:jc w:val="both"/>
      </w:pPr>
      <w:r>
        <w:rPr>
          <w:rFonts w:ascii="Arial" w:hAnsi="Arial"/>
          <w:b w:val="0"/>
          <w:sz w:val="22"/>
        </w:rPr>
        <w:t>Handled sales promotion and was in charge of the Malaysian market.</w:t>
      </w:r>
    </w:p>
    <w:p>
      <w:pPr>
        <w:pStyle w:val="ListBullet"/>
        <w:spacing w:before="0" w:after="0"/>
        <w:ind w:left="720" w:hanging="360"/>
        <w:jc w:val="both"/>
      </w:pPr>
      <w:r>
        <w:rPr>
          <w:rFonts w:ascii="Arial" w:hAnsi="Arial"/>
          <w:b w:val="0"/>
          <w:sz w:val="22"/>
        </w:rPr>
        <w:t>Undertook missions in the United States, Canada and Indonesia.</w:t>
      </w:r>
    </w:p>
    <w:p>
      <w:pPr>
        <w:spacing w:before="0" w:after="0"/>
      </w:pPr>
    </w:p>
    <w:p>
      <w:pPr>
        <w:spacing w:before="0" w:after="0"/>
        <w:jc w:val="left"/>
      </w:pPr>
      <w:r>
        <w:rPr>
          <w:rFonts w:ascii="Arial" w:hAnsi="Arial"/>
          <w:b/>
          <w:sz w:val="22"/>
        </w:rPr>
        <w:t>1978 – 1993</w:t>
      </w:r>
    </w:p>
    <w:p>
      <w:pPr>
        <w:spacing w:before="0" w:after="0"/>
        <w:jc w:val="left"/>
      </w:pPr>
      <w:r>
        <w:rPr>
          <w:rFonts w:ascii="Arial" w:hAnsi="Arial"/>
          <w:b/>
          <w:sz w:val="22"/>
        </w:rPr>
        <w:t>VALLOUREC INDUSTRIES DEVILLE/ROUEN</w:t>
      </w:r>
    </w:p>
    <w:p>
      <w:pPr>
        <w:spacing w:before="0" w:after="0"/>
        <w:jc w:val="left"/>
      </w:pPr>
      <w:r>
        <w:rPr>
          <w:rFonts w:ascii="Arial" w:hAnsi="Arial"/>
          <w:b/>
          <w:sz w:val="22"/>
        </w:rPr>
        <w:t>NDT MANAGER</w:t>
      </w:r>
    </w:p>
    <w:p>
      <w:pPr>
        <w:pStyle w:val="ListBullet"/>
        <w:spacing w:before="0" w:after="0"/>
        <w:ind w:left="720" w:hanging="360"/>
        <w:jc w:val="both"/>
      </w:pPr>
      <w:r>
        <w:rPr>
          <w:rFonts w:ascii="Arial" w:hAnsi="Arial"/>
          <w:b w:val="0"/>
          <w:sz w:val="22"/>
        </w:rPr>
        <w:t>Worked as NDT Manager.</w:t>
      </w:r>
    </w:p>
    <w:p>
      <w:pPr>
        <w:pStyle w:val="ListBullet"/>
        <w:spacing w:before="0" w:after="0"/>
        <w:ind w:left="720" w:hanging="360"/>
        <w:jc w:val="both"/>
      </w:pPr>
      <w:r>
        <w:rPr>
          <w:rFonts w:ascii="Arial" w:hAnsi="Arial"/>
          <w:b w:val="0"/>
          <w:sz w:val="22"/>
        </w:rPr>
        <w:t>Managed external claims from main customers, including Trouvay Cauvin Le Havre, NAM, Shell and Van Leeuwen.</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2041"/>
        <w:gridCol w:w="2041"/>
        <w:gridCol w:w="2041"/>
        <w:gridCol w:w="2041"/>
        <w:gridCol w:w="2041"/>
      </w:tblGrid>
      <w:tr>
        <w:tc>
          <w:tcPr>
            <w:tcW w:type="dxa" w:w="2041"/>
          </w:tcPr>
          <w:p>
            <w:pPr>
              <w:spacing w:before="0" w:after="0"/>
              <w:jc w:val="left"/>
            </w:pPr>
            <w:r>
              <w:rPr>
                <w:rFonts w:ascii="Arial" w:hAnsi="Arial"/>
                <w:b/>
                <w:sz w:val="22"/>
              </w:rPr>
              <w:t>Inspected Equipment</w:t>
            </w:r>
          </w:p>
        </w:tc>
        <w:tc>
          <w:tcPr>
            <w:tcW w:type="dxa" w:w="2041"/>
          </w:tcPr>
          <w:p>
            <w:pPr>
              <w:spacing w:before="0" w:after="0"/>
              <w:jc w:val="left"/>
            </w:pPr>
            <w:r>
              <w:rPr>
                <w:rFonts w:ascii="Arial" w:hAnsi="Arial"/>
                <w:b/>
                <w:sz w:val="22"/>
              </w:rPr>
              <w:t>Manufacturer</w:t>
            </w:r>
          </w:p>
        </w:tc>
        <w:tc>
          <w:tcPr>
            <w:tcW w:type="dxa" w:w="2041"/>
          </w:tcPr>
          <w:p>
            <w:pPr>
              <w:spacing w:before="0" w:after="0"/>
              <w:jc w:val="left"/>
            </w:pPr>
            <w:r>
              <w:rPr>
                <w:rFonts w:ascii="Arial" w:hAnsi="Arial"/>
                <w:b/>
                <w:sz w:val="22"/>
              </w:rPr>
              <w:t>Clients</w:t>
            </w:r>
          </w:p>
        </w:tc>
        <w:tc>
          <w:tcPr>
            <w:tcW w:type="dxa" w:w="2041"/>
          </w:tcPr>
          <w:p>
            <w:pPr>
              <w:spacing w:before="0" w:after="0"/>
              <w:jc w:val="left"/>
            </w:pPr>
            <w:r>
              <w:rPr>
                <w:rFonts w:ascii="Arial" w:hAnsi="Arial"/>
                <w:b/>
                <w:sz w:val="22"/>
              </w:rPr>
              <w:t>PROJECT</w:t>
            </w:r>
          </w:p>
        </w:tc>
        <w:tc>
          <w:tcPr>
            <w:tcW w:type="dxa" w:w="2041"/>
          </w:tcPr>
          <w:p>
            <w:pPr>
              <w:spacing w:before="0" w:after="0"/>
              <w:jc w:val="left"/>
            </w:pPr>
            <w:r>
              <w:rPr>
                <w:rFonts w:ascii="Arial" w:hAnsi="Arial"/>
                <w:b/>
                <w:sz w:val="22"/>
              </w:rPr>
              <w:t>Scope</w:t>
            </w:r>
          </w:p>
        </w:tc>
      </w:tr>
      <w:tr>
        <w:tc>
          <w:tcPr>
            <w:tcW w:type="dxa" w:w="2041"/>
          </w:tcPr>
          <w:p>
            <w:pPr>
              <w:spacing w:before="0" w:after="0"/>
              <w:jc w:val="left"/>
            </w:pPr>
            <w:r>
              <w:rPr>
                <w:rFonts w:ascii="Arial" w:hAnsi="Arial"/>
                <w:b w:val="0"/>
                <w:sz w:val="22"/>
              </w:rPr>
              <w:t>pipeline, risers, flowlines and onshore receiving facility (orf), installation of umbilicals, manifold, jumpers and subsea controls system, offshore hook-up and offshore commissioning</w:t>
            </w:r>
          </w:p>
        </w:tc>
        <w:tc>
          <w:tcPr>
            <w:tcW w:type="dxa" w:w="2041"/>
          </w:tcPr>
          <w:p>
            <w:pPr>
              <w:spacing w:before="0" w:after="0"/>
              <w:jc w:val="left"/>
            </w:pPr>
            <w:r>
              <w:rPr>
                <w:rFonts w:ascii="Arial" w:hAnsi="Arial"/>
                <w:b w:val="0"/>
                <w:sz w:val="22"/>
              </w:rPr>
              <w:t>Noe Jacquier</w:t>
            </w:r>
          </w:p>
        </w:tc>
        <w:tc>
          <w:tcPr>
            <w:tcW w:type="dxa" w:w="2041"/>
          </w:tcPr>
          <w:p>
            <w:pPr>
              <w:spacing w:before="0" w:after="0"/>
              <w:jc w:val="left"/>
            </w:pPr>
            <w:r>
              <w:rPr>
                <w:rFonts w:ascii="Arial" w:hAnsi="Arial"/>
                <w:b w:val="0"/>
                <w:sz w:val="22"/>
              </w:rPr>
              <w:t>SAIPEM EXXON CHEVRON</w:t>
            </w:r>
          </w:p>
        </w:tc>
        <w:tc>
          <w:tcPr>
            <w:tcW w:type="dxa" w:w="2041"/>
          </w:tcPr>
          <w:p>
            <w:pPr>
              <w:spacing w:before="0" w:after="0"/>
              <w:jc w:val="left"/>
            </w:pPr>
            <w:r>
              <w:rPr>
                <w:rFonts w:ascii="Arial" w:hAnsi="Arial"/>
                <w:b w:val="0"/>
                <w:sz w:val="22"/>
              </w:rPr>
              <w:t>Jangkrik Complex project Kizomba Satellites Phase II Chevron Lianzi</w:t>
            </w:r>
          </w:p>
        </w:tc>
        <w:tc>
          <w:tcPr>
            <w:tcW w:type="dxa" w:w="2041"/>
          </w:tcPr>
          <w:p>
            <w:pPr>
              <w:spacing w:before="0" w:after="0"/>
              <w:jc w:val="left"/>
            </w:pPr>
            <w:r>
              <w:rPr>
                <w:rFonts w:ascii="Arial" w:hAnsi="Arial"/>
                <w:b w:val="0"/>
                <w:sz w:val="22"/>
              </w:rPr>
              <w:t>PIM / FI</w:t>
            </w:r>
          </w:p>
        </w:tc>
      </w:tr>
      <w:tr>
        <w:tc>
          <w:tcPr>
            <w:tcW w:type="dxa" w:w="2041"/>
          </w:tcPr>
          <w:p>
            <w:pPr>
              <w:spacing w:before="0" w:after="0"/>
              <w:jc w:val="left"/>
            </w:pPr>
            <w:r>
              <w:rPr>
                <w:rFonts w:ascii="Arial" w:hAnsi="Arial"/>
                <w:b w:val="0"/>
                <w:sz w:val="22"/>
              </w:rPr>
              <w:t>COMPRESSORS</w:t>
            </w:r>
          </w:p>
        </w:tc>
        <w:tc>
          <w:tcPr>
            <w:tcW w:type="dxa" w:w="2041"/>
          </w:tcPr>
          <w:p>
            <w:pPr>
              <w:spacing w:before="0" w:after="0"/>
              <w:jc w:val="left"/>
            </w:pPr>
            <w:r>
              <w:rPr>
                <w:rFonts w:ascii="Arial" w:hAnsi="Arial"/>
                <w:b w:val="0"/>
                <w:sz w:val="22"/>
              </w:rPr>
              <w:t>HOWDEN BC</w:t>
            </w:r>
          </w:p>
        </w:tc>
        <w:tc>
          <w:tcPr>
            <w:tcW w:type="dxa" w:w="2041"/>
          </w:tcPr>
          <w:p>
            <w:pPr>
              <w:spacing w:before="0" w:after="0"/>
              <w:jc w:val="left"/>
            </w:pPr>
            <w:r>
              <w:rPr>
                <w:rFonts w:ascii="Arial" w:hAnsi="Arial"/>
                <w:b w:val="0"/>
                <w:sz w:val="22"/>
              </w:rPr>
              <w:t>PETROFAC SAUDI ARABIA LTD KBR AMEC FW</w:t>
            </w:r>
          </w:p>
        </w:tc>
        <w:tc>
          <w:tcPr>
            <w:tcW w:type="dxa" w:w="2041"/>
          </w:tcPr>
          <w:p>
            <w:pPr>
              <w:spacing w:before="0" w:after="0"/>
              <w:jc w:val="left"/>
            </w:pPr>
            <w:r>
              <w:rPr>
                <w:rFonts w:ascii="Arial" w:hAnsi="Arial"/>
                <w:b w:val="0"/>
                <w:sz w:val="22"/>
              </w:rPr>
              <w:t>RABIGH PHASE II PETROCHEMICAL PROJECT KARBALA</w:t>
            </w:r>
          </w:p>
        </w:tc>
        <w:tc>
          <w:tcPr>
            <w:tcW w:type="dxa" w:w="2041"/>
          </w:tcPr>
          <w:p>
            <w:pPr>
              <w:spacing w:before="0" w:after="0"/>
              <w:jc w:val="left"/>
            </w:pPr>
            <w:r>
              <w:rPr>
                <w:rFonts w:ascii="Arial" w:hAnsi="Arial"/>
                <w:b w:val="0"/>
                <w:sz w:val="22"/>
              </w:rPr>
              <w:t>PIM / FAT / DR / VT / DC / NDT / FI</w:t>
            </w:r>
          </w:p>
        </w:tc>
      </w:tr>
      <w:tr>
        <w:tc>
          <w:tcPr>
            <w:tcW w:type="dxa" w:w="2041"/>
          </w:tcPr>
          <w:p>
            <w:pPr>
              <w:spacing w:before="0" w:after="0"/>
              <w:jc w:val="left"/>
            </w:pPr>
            <w:r>
              <w:rPr>
                <w:rFonts w:ascii="Arial" w:hAnsi="Arial"/>
                <w:b w:val="0"/>
                <w:sz w:val="22"/>
              </w:rPr>
              <w:t>COMPRESSORS (INJECTION Gas Compressor Package)</w:t>
            </w:r>
          </w:p>
        </w:tc>
        <w:tc>
          <w:tcPr>
            <w:tcW w:type="dxa" w:w="2041"/>
          </w:tcPr>
          <w:p>
            <w:pPr>
              <w:spacing w:before="0" w:after="0"/>
              <w:jc w:val="left"/>
            </w:pPr>
            <w:r>
              <w:rPr>
                <w:rFonts w:ascii="Arial" w:hAnsi="Arial"/>
                <w:b w:val="0"/>
                <w:sz w:val="22"/>
              </w:rPr>
              <w:t>DRESSER RAND LE HAVRE</w:t>
            </w:r>
          </w:p>
        </w:tc>
        <w:tc>
          <w:tcPr>
            <w:tcW w:type="dxa" w:w="2041"/>
          </w:tcPr>
          <w:p>
            <w:pPr>
              <w:spacing w:before="0" w:after="0"/>
              <w:jc w:val="left"/>
            </w:pPr>
            <w:r>
              <w:rPr>
                <w:rFonts w:ascii="Arial" w:hAnsi="Arial"/>
                <w:b w:val="0"/>
                <w:sz w:val="22"/>
              </w:rPr>
              <w:t>TECNIMONT</w:t>
            </w:r>
          </w:p>
        </w:tc>
        <w:tc>
          <w:tcPr>
            <w:tcW w:type="dxa" w:w="2041"/>
          </w:tcPr>
          <w:p>
            <w:pPr>
              <w:spacing w:before="0" w:after="0"/>
              <w:jc w:val="left"/>
            </w:pPr>
            <w:r>
              <w:rPr>
                <w:rFonts w:ascii="Arial" w:hAnsi="Arial"/>
                <w:b w:val="0"/>
                <w:sz w:val="22"/>
              </w:rPr>
              <w:t>SARB Field Development Project</w:t>
            </w:r>
          </w:p>
        </w:tc>
        <w:tc>
          <w:tcPr>
            <w:tcW w:type="dxa" w:w="2041"/>
          </w:tcPr>
          <w:p>
            <w:pPr>
              <w:spacing w:before="0" w:after="0"/>
              <w:jc w:val="left"/>
            </w:pPr>
            <w:r>
              <w:rPr>
                <w:rFonts w:ascii="Arial" w:hAnsi="Arial"/>
                <w:b w:val="0"/>
                <w:sz w:val="22"/>
              </w:rPr>
              <w:t>PIM / FAT / DR / VT / DC / NDT / FI</w:t>
            </w:r>
          </w:p>
        </w:tc>
      </w:tr>
      <w:tr>
        <w:tc>
          <w:tcPr>
            <w:tcW w:type="dxa" w:w="2041"/>
          </w:tcPr>
          <w:p>
            <w:pPr>
              <w:spacing w:before="0" w:after="0"/>
              <w:jc w:val="left"/>
            </w:pPr>
            <w:r>
              <w:rPr>
                <w:rFonts w:ascii="Arial" w:hAnsi="Arial"/>
                <w:b w:val="0"/>
                <w:sz w:val="22"/>
              </w:rPr>
              <w:t>LinePipe (Stainless steel, duplex, titanium, Casing, 13%Cr)</w:t>
            </w:r>
          </w:p>
        </w:tc>
        <w:tc>
          <w:tcPr>
            <w:tcW w:type="dxa" w:w="2041"/>
          </w:tcPr>
          <w:p>
            <w:pPr>
              <w:spacing w:before="0" w:after="0"/>
              <w:jc w:val="left"/>
            </w:pPr>
            <w:r>
              <w:rPr>
                <w:rFonts w:ascii="Arial" w:hAnsi="Arial"/>
                <w:b w:val="0"/>
                <w:sz w:val="22"/>
              </w:rPr>
              <w:t>VALLOUREC &amp; MANNESMANN</w:t>
            </w:r>
          </w:p>
        </w:tc>
        <w:tc>
          <w:tcPr>
            <w:tcW w:type="dxa" w:w="2041"/>
          </w:tcPr>
          <w:p>
            <w:pPr>
              <w:spacing w:before="0" w:after="0"/>
              <w:jc w:val="left"/>
            </w:pPr>
            <w:r>
              <w:rPr>
                <w:rFonts w:ascii="Arial" w:hAnsi="Arial"/>
                <w:b w:val="0"/>
                <w:sz w:val="22"/>
              </w:rPr>
              <w:t>TOTAL / SAUDI ARAMCO / TECHNIIP / CHEVRON</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PIM / FAT / DR / VT / DC / NDT / FI</w:t>
            </w:r>
          </w:p>
        </w:tc>
      </w:tr>
      <w:tr>
        <w:tc>
          <w:tcPr>
            <w:tcW w:type="dxa" w:w="2041"/>
          </w:tcPr>
          <w:p>
            <w:pPr>
              <w:spacing w:before="0" w:after="0"/>
              <w:jc w:val="left"/>
            </w:pPr>
            <w:r>
              <w:rPr>
                <w:rFonts w:ascii="Arial" w:hAnsi="Arial"/>
                <w:b w:val="0"/>
                <w:sz w:val="22"/>
              </w:rPr>
              <w:t>Flexibles Gas Lift, dead oil, spool, risers, flow line, jumpers, water injection from 2’’ to 14.75”</w:t>
            </w:r>
          </w:p>
        </w:tc>
        <w:tc>
          <w:tcPr>
            <w:tcW w:type="dxa" w:w="2041"/>
          </w:tcPr>
          <w:p>
            <w:pPr>
              <w:spacing w:before="0" w:after="0"/>
              <w:jc w:val="left"/>
            </w:pPr>
            <w:r>
              <w:rPr>
                <w:rFonts w:ascii="Arial" w:hAnsi="Arial"/>
                <w:b w:val="0"/>
                <w:sz w:val="22"/>
              </w:rPr>
              <w:t>FLEXI FRANCE (EX COFLEXIP STENA OFFSHORE )</w:t>
            </w:r>
          </w:p>
        </w:tc>
        <w:tc>
          <w:tcPr>
            <w:tcW w:type="dxa" w:w="2041"/>
          </w:tcPr>
          <w:p>
            <w:pPr>
              <w:spacing w:before="0" w:after="0"/>
              <w:jc w:val="left"/>
            </w:pPr>
            <w:r>
              <w:rPr>
                <w:rFonts w:ascii="Arial" w:hAnsi="Arial"/>
                <w:b w:val="0"/>
                <w:sz w:val="22"/>
              </w:rPr>
              <w:t>SHELL AMERADA Hess ENI TOTAL VAALCO SAIPEM EXXON MOBIL INPEX BP Aramco Petrobras</w:t>
            </w:r>
          </w:p>
        </w:tc>
        <w:tc>
          <w:tcPr>
            <w:tcW w:type="dxa" w:w="2041"/>
          </w:tcPr>
          <w:p>
            <w:pPr>
              <w:spacing w:before="0" w:after="0"/>
              <w:jc w:val="left"/>
            </w:pPr>
            <w:r>
              <w:rPr>
                <w:rFonts w:ascii="Arial" w:hAnsi="Arial"/>
                <w:b w:val="0"/>
                <w:sz w:val="22"/>
              </w:rPr>
              <w:t>Uk pelican, curlew (west hub Kizomba satellite Moho Kizomba b Dalia Kizomba Giri Usan Bp maddog Cenovus Ichtys Payara Yellowtail Papaterra Agogo Baobab Wintershall Balder</w:t>
            </w:r>
          </w:p>
        </w:tc>
        <w:tc>
          <w:tcPr>
            <w:tcW w:type="dxa" w:w="2041"/>
          </w:tcPr>
          <w:p>
            <w:pPr>
              <w:spacing w:before="0" w:after="0"/>
              <w:jc w:val="left"/>
            </w:pPr>
            <w:r>
              <w:rPr>
                <w:rFonts w:ascii="Arial" w:hAnsi="Arial"/>
                <w:b w:val="0"/>
                <w:sz w:val="22"/>
              </w:rPr>
              <w:t>PIM / FAT / DR / VT / DC / NDT / FI / PFU / MT</w:t>
            </w:r>
          </w:p>
        </w:tc>
      </w:tr>
      <w:tr>
        <w:tc>
          <w:tcPr>
            <w:tcW w:type="dxa" w:w="2041"/>
          </w:tcPr>
          <w:p>
            <w:pPr>
              <w:spacing w:before="0" w:after="0"/>
              <w:jc w:val="left"/>
            </w:pPr>
            <w:r>
              <w:rPr>
                <w:rFonts w:ascii="Arial" w:hAnsi="Arial"/>
                <w:b w:val="0"/>
                <w:sz w:val="22"/>
              </w:rPr>
              <w:t>Control valves</w:t>
            </w:r>
          </w:p>
        </w:tc>
        <w:tc>
          <w:tcPr>
            <w:tcW w:type="dxa" w:w="2041"/>
          </w:tcPr>
          <w:p>
            <w:pPr>
              <w:spacing w:before="0" w:after="0"/>
              <w:jc w:val="left"/>
            </w:pPr>
            <w:r>
              <w:rPr>
                <w:rFonts w:ascii="Arial" w:hAnsi="Arial"/>
                <w:b w:val="0"/>
                <w:sz w:val="22"/>
              </w:rPr>
              <w:t>DRESSER RAND MASONEILAN</w:t>
            </w:r>
          </w:p>
        </w:tc>
        <w:tc>
          <w:tcPr>
            <w:tcW w:type="dxa" w:w="2041"/>
          </w:tcPr>
          <w:p>
            <w:pPr>
              <w:spacing w:before="0" w:after="0"/>
              <w:jc w:val="left"/>
            </w:pPr>
            <w:r>
              <w:rPr>
                <w:rFonts w:ascii="Arial" w:hAnsi="Arial"/>
                <w:b w:val="0"/>
                <w:sz w:val="22"/>
              </w:rPr>
              <w:t>SNAMPROGETTI REPSOL ENI BLOCK 15/06</w:t>
            </w:r>
          </w:p>
        </w:tc>
        <w:tc>
          <w:tcPr>
            <w:tcW w:type="dxa" w:w="2041"/>
          </w:tcPr>
          <w:p>
            <w:pPr>
              <w:spacing w:before="0" w:after="0"/>
              <w:jc w:val="left"/>
            </w:pPr>
            <w:r>
              <w:rPr>
                <w:rFonts w:ascii="Arial" w:hAnsi="Arial"/>
                <w:b w:val="0"/>
                <w:sz w:val="22"/>
              </w:rPr>
              <w:t>CLAIR RIDGE Thammama</w:t>
            </w:r>
          </w:p>
        </w:tc>
        <w:tc>
          <w:tcPr>
            <w:tcW w:type="dxa" w:w="2041"/>
          </w:tcPr>
          <w:p>
            <w:pPr>
              <w:spacing w:before="0" w:after="0"/>
              <w:jc w:val="left"/>
            </w:pPr>
            <w:r>
              <w:rPr>
                <w:rFonts w:ascii="Arial" w:hAnsi="Arial"/>
                <w:b w:val="0"/>
                <w:sz w:val="22"/>
              </w:rPr>
              <w:t>PIM / FAT / DR / VT / DC / NDT / FI / PFU / MT</w:t>
            </w:r>
          </w:p>
        </w:tc>
      </w:tr>
      <w:tr>
        <w:tc>
          <w:tcPr>
            <w:tcW w:type="dxa" w:w="2041"/>
          </w:tcPr>
          <w:p>
            <w:pPr>
              <w:spacing w:before="0" w:after="0"/>
              <w:jc w:val="left"/>
            </w:pPr>
            <w:r>
              <w:rPr>
                <w:rFonts w:ascii="Arial" w:hAnsi="Arial"/>
                <w:b w:val="0"/>
                <w:sz w:val="22"/>
              </w:rPr>
              <w:t>HEAT EXCHANGERS</w:t>
            </w:r>
          </w:p>
        </w:tc>
        <w:tc>
          <w:tcPr>
            <w:tcW w:type="dxa" w:w="2041"/>
          </w:tcPr>
          <w:p>
            <w:pPr>
              <w:spacing w:before="0" w:after="0"/>
              <w:jc w:val="left"/>
            </w:pPr>
            <w:r>
              <w:rPr>
                <w:rFonts w:ascii="Arial" w:hAnsi="Arial"/>
                <w:b w:val="0"/>
                <w:sz w:val="22"/>
              </w:rPr>
              <w:t>FOURE LAGADEC LE HAVRE</w:t>
            </w:r>
          </w:p>
        </w:tc>
        <w:tc>
          <w:tcPr>
            <w:tcW w:type="dxa" w:w="2041"/>
          </w:tcPr>
          <w:p>
            <w:pPr>
              <w:spacing w:before="0" w:after="0"/>
              <w:jc w:val="left"/>
            </w:pPr>
            <w:r>
              <w:rPr>
                <w:rFonts w:ascii="Arial" w:hAnsi="Arial"/>
                <w:b w:val="0"/>
                <w:sz w:val="22"/>
              </w:rPr>
              <w:t>PROSERNAT PETROJET EXXON MOBIL TECNICAS REUNIDAS</w:t>
            </w:r>
          </w:p>
        </w:tc>
        <w:tc>
          <w:tcPr>
            <w:tcW w:type="dxa" w:w="2041"/>
          </w:tcPr>
          <w:p>
            <w:pPr>
              <w:spacing w:before="0" w:after="0"/>
              <w:jc w:val="left"/>
            </w:pPr>
            <w:r>
              <w:rPr>
                <w:rFonts w:ascii="Arial" w:hAnsi="Arial"/>
                <w:b w:val="0"/>
                <w:sz w:val="22"/>
              </w:rPr>
              <w:t>OPTARA PROJECT Samir</w:t>
            </w:r>
          </w:p>
        </w:tc>
        <w:tc>
          <w:tcPr>
            <w:tcW w:type="dxa" w:w="2041"/>
          </w:tcPr>
          <w:p>
            <w:pPr>
              <w:spacing w:before="0" w:after="0"/>
              <w:jc w:val="left"/>
            </w:pPr>
            <w:r>
              <w:rPr>
                <w:rFonts w:ascii="Arial" w:hAnsi="Arial"/>
                <w:b w:val="0"/>
                <w:sz w:val="22"/>
              </w:rPr>
              <w:t>PIM / FAT / DR / VT / DC / NDT / FI / PFU / MT</w:t>
            </w:r>
          </w:p>
        </w:tc>
      </w:tr>
      <w:tr>
        <w:tc>
          <w:tcPr>
            <w:tcW w:type="dxa" w:w="2041"/>
          </w:tcPr>
          <w:p>
            <w:pPr>
              <w:spacing w:before="0" w:after="0"/>
              <w:jc w:val="left"/>
            </w:pPr>
            <w:r>
              <w:rPr>
                <w:rFonts w:ascii="Arial" w:hAnsi="Arial"/>
                <w:b w:val="0"/>
                <w:sz w:val="22"/>
              </w:rPr>
              <w:t>DOSING and METERING PUMPS</w:t>
            </w:r>
          </w:p>
        </w:tc>
        <w:tc>
          <w:tcPr>
            <w:tcW w:type="dxa" w:w="2041"/>
          </w:tcPr>
          <w:p>
            <w:pPr>
              <w:spacing w:before="0" w:after="0"/>
              <w:jc w:val="left"/>
            </w:pPr>
            <w:r>
              <w:rPr>
                <w:rFonts w:ascii="Arial" w:hAnsi="Arial"/>
                <w:b w:val="0"/>
                <w:sz w:val="22"/>
              </w:rPr>
              <w:t>MILTON ROY</w:t>
            </w:r>
          </w:p>
        </w:tc>
        <w:tc>
          <w:tcPr>
            <w:tcW w:type="dxa" w:w="2041"/>
          </w:tcPr>
          <w:p>
            <w:pPr>
              <w:spacing w:before="0" w:after="0"/>
              <w:jc w:val="left"/>
            </w:pPr>
            <w:r>
              <w:rPr>
                <w:rFonts w:ascii="Arial" w:hAnsi="Arial"/>
                <w:b w:val="0"/>
                <w:sz w:val="22"/>
              </w:rPr>
              <w:t>ARAMCO SHELL REPSOL ESSO</w:t>
            </w:r>
          </w:p>
        </w:tc>
        <w:tc>
          <w:tcPr>
            <w:tcW w:type="dxa" w:w="2041"/>
          </w:tcPr>
          <w:p>
            <w:pPr>
              <w:spacing w:before="0" w:after="0"/>
              <w:jc w:val="left"/>
            </w:pPr>
            <w:r>
              <w:rPr>
                <w:rFonts w:ascii="Arial" w:hAnsi="Arial"/>
                <w:b w:val="0"/>
                <w:sz w:val="22"/>
              </w:rPr>
              <w:t>DOLPHIN</w:t>
            </w:r>
          </w:p>
        </w:tc>
        <w:tc>
          <w:tcPr>
            <w:tcW w:type="dxa" w:w="2041"/>
          </w:tcPr>
          <w:p>
            <w:pPr>
              <w:spacing w:before="0" w:after="0"/>
              <w:jc w:val="left"/>
            </w:pPr>
            <w:r>
              <w:rPr>
                <w:rFonts w:ascii="Arial" w:hAnsi="Arial"/>
                <w:b w:val="0"/>
                <w:sz w:val="22"/>
              </w:rPr>
              <w:t>PIM / FAT / DR / VT / DC / NDT / FI / PFU / MT</w:t>
            </w:r>
          </w:p>
        </w:tc>
      </w:tr>
      <w:tr>
        <w:tc>
          <w:tcPr>
            <w:tcW w:type="dxa" w:w="2041"/>
          </w:tcPr>
          <w:p>
            <w:pPr>
              <w:spacing w:before="0" w:after="0"/>
              <w:jc w:val="left"/>
            </w:pPr>
            <w:r>
              <w:rPr>
                <w:rFonts w:ascii="Arial" w:hAnsi="Arial"/>
                <w:b w:val="0"/>
                <w:sz w:val="22"/>
              </w:rPr>
              <w:t>RADIANT COILS</w:t>
            </w:r>
          </w:p>
        </w:tc>
        <w:tc>
          <w:tcPr>
            <w:tcW w:type="dxa" w:w="2041"/>
          </w:tcPr>
          <w:p>
            <w:pPr>
              <w:spacing w:before="0" w:after="0"/>
              <w:jc w:val="left"/>
            </w:pPr>
            <w:r>
              <w:rPr>
                <w:rFonts w:ascii="Arial" w:hAnsi="Arial"/>
                <w:b w:val="0"/>
                <w:sz w:val="22"/>
              </w:rPr>
              <w:t>MANOIR INDUSTRIES</w:t>
            </w:r>
          </w:p>
        </w:tc>
        <w:tc>
          <w:tcPr>
            <w:tcW w:type="dxa" w:w="2041"/>
          </w:tcPr>
          <w:p>
            <w:pPr>
              <w:spacing w:before="0" w:after="0"/>
              <w:jc w:val="left"/>
            </w:pPr>
            <w:r>
              <w:rPr>
                <w:rFonts w:ascii="Arial" w:hAnsi="Arial"/>
                <w:b w:val="0"/>
                <w:sz w:val="22"/>
              </w:rPr>
              <w:t>VALLOUREC TECHNIP INGERSOLL SNAMPROGETTI CB&amp;I CHIYODA TOYO SABIC HEURTEY</w:t>
            </w:r>
          </w:p>
        </w:tc>
        <w:tc>
          <w:tcPr>
            <w:tcW w:type="dxa" w:w="2041"/>
          </w:tcPr>
          <w:p>
            <w:pPr>
              <w:spacing w:before="0" w:after="0"/>
              <w:jc w:val="left"/>
            </w:pPr>
            <w:r>
              <w:rPr>
                <w:rFonts w:ascii="Arial" w:hAnsi="Arial"/>
                <w:b w:val="0"/>
                <w:sz w:val="22"/>
              </w:rPr>
              <w:t>ABB LUMUS REPSOL-CONVENT/PALEMBANG GULF COAST SAFCO ....</w:t>
            </w:r>
          </w:p>
        </w:tc>
        <w:tc>
          <w:tcPr>
            <w:tcW w:type="dxa" w:w="2041"/>
          </w:tcPr>
          <w:p>
            <w:pPr>
              <w:spacing w:before="0" w:after="0"/>
              <w:jc w:val="left"/>
            </w:pPr>
            <w:r>
              <w:rPr>
                <w:rFonts w:ascii="Arial" w:hAnsi="Arial"/>
                <w:b w:val="0"/>
                <w:sz w:val="22"/>
              </w:rPr>
            </w:r>
          </w:p>
        </w:tc>
      </w:tr>
    </w:tbl>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French : Native</w:t>
      </w:r>
    </w:p>
    <w:p>
      <w:pPr>
        <w:pStyle w:val="ListBullet"/>
        <w:spacing w:before="0" w:after="0"/>
        <w:ind w:left="720" w:hanging="360"/>
        <w:jc w:val="both"/>
      </w:pPr>
      <w:r>
        <w:rPr>
          <w:rFonts w:ascii="Arial" w:hAnsi="Arial"/>
          <w:b w:val="0"/>
          <w:sz w:val="22"/>
        </w:rPr>
        <w:t>English : Fluent</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QA/QC Inspection</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Resident Inspection</w:t>
      </w:r>
    </w:p>
    <w:p>
      <w:pPr>
        <w:pStyle w:val="ListBullet"/>
        <w:spacing w:before="0" w:after="0"/>
        <w:ind w:left="720" w:hanging="360"/>
        <w:jc w:val="both"/>
      </w:pPr>
      <w:r>
        <w:rPr>
          <w:rFonts w:ascii="Arial" w:hAnsi="Arial"/>
          <w:b w:val="0"/>
          <w:sz w:val="22"/>
        </w:rPr>
        <w:t>Vendor Surveillance</w:t>
      </w:r>
    </w:p>
    <w:p>
      <w:pPr>
        <w:pStyle w:val="ListBullet"/>
        <w:spacing w:before="0" w:after="0"/>
        <w:ind w:left="720" w:hanging="360"/>
        <w:jc w:val="both"/>
      </w:pPr>
      <w:r>
        <w:rPr>
          <w:rFonts w:ascii="Arial" w:hAnsi="Arial"/>
          <w:b w:val="0"/>
          <w:sz w:val="22"/>
        </w:rPr>
        <w:t>Pre-Inspection Meetings</w:t>
      </w:r>
    </w:p>
    <w:p>
      <w:pPr>
        <w:pStyle w:val="ListBullet"/>
        <w:spacing w:before="0" w:after="0"/>
        <w:ind w:left="720" w:hanging="360"/>
        <w:jc w:val="both"/>
      </w:pPr>
      <w:r>
        <w:rPr>
          <w:rFonts w:ascii="Arial" w:hAnsi="Arial"/>
          <w:b w:val="0"/>
          <w:sz w:val="22"/>
        </w:rPr>
        <w:t>Full Order Surveillance</w:t>
      </w:r>
    </w:p>
    <w:p>
      <w:pPr>
        <w:pStyle w:val="ListBullet"/>
        <w:spacing w:before="0" w:after="0"/>
        <w:ind w:left="720" w:hanging="360"/>
        <w:jc w:val="both"/>
      </w:pPr>
      <w:r>
        <w:rPr>
          <w:rFonts w:ascii="Arial" w:hAnsi="Arial"/>
          <w:b w:val="0"/>
          <w:sz w:val="22"/>
        </w:rPr>
        <w:t>Sub-supplier Surveillance</w:t>
      </w:r>
    </w:p>
    <w:p>
      <w:pPr>
        <w:pStyle w:val="ListBullet"/>
        <w:spacing w:before="0" w:after="0"/>
        <w:ind w:left="720" w:hanging="360"/>
        <w:jc w:val="both"/>
      </w:pPr>
      <w:r>
        <w:rPr>
          <w:rFonts w:ascii="Arial" w:hAnsi="Arial"/>
          <w:b w:val="0"/>
          <w:sz w:val="22"/>
        </w:rPr>
        <w:t>NDT Management</w:t>
      </w:r>
    </w:p>
    <w:p>
      <w:pPr>
        <w:pStyle w:val="ListBullet"/>
        <w:spacing w:before="0" w:after="0"/>
        <w:ind w:left="720" w:hanging="360"/>
        <w:jc w:val="both"/>
      </w:pPr>
      <w:r>
        <w:rPr>
          <w:rFonts w:ascii="Arial" w:hAnsi="Arial"/>
          <w:b w:val="0"/>
          <w:sz w:val="22"/>
        </w:rPr>
        <w:t>Quality Management</w:t>
      </w:r>
    </w:p>
    <w:p>
      <w:pPr>
        <w:pStyle w:val="ListBullet"/>
        <w:spacing w:before="0" w:after="0"/>
        <w:ind w:left="720" w:hanging="360"/>
        <w:jc w:val="both"/>
      </w:pPr>
      <w:r>
        <w:rPr>
          <w:rFonts w:ascii="Arial" w:hAnsi="Arial"/>
          <w:b w:val="0"/>
          <w:sz w:val="22"/>
        </w:rPr>
        <w:t>Inspection Documentation Review</w:t>
      </w:r>
    </w:p>
    <w:p>
      <w:pPr>
        <w:pStyle w:val="ListBullet"/>
        <w:spacing w:before="0" w:after="0"/>
        <w:ind w:left="720" w:hanging="360"/>
        <w:jc w:val="both"/>
      </w:pPr>
      <w:r>
        <w:rPr>
          <w:rFonts w:ascii="Arial" w:hAnsi="Arial"/>
          <w:b w:val="0"/>
          <w:sz w:val="22"/>
        </w:rPr>
        <w:t>NDT Operator Training and Certification</w:t>
      </w:r>
    </w:p>
    <w:p>
      <w:pPr>
        <w:pStyle w:val="ListBullet"/>
        <w:spacing w:before="0" w:after="0"/>
        <w:ind w:left="720" w:hanging="360"/>
        <w:jc w:val="both"/>
      </w:pPr>
      <w:r>
        <w:rPr>
          <w:rFonts w:ascii="Arial" w:hAnsi="Arial"/>
          <w:b w:val="0"/>
          <w:sz w:val="22"/>
        </w:rPr>
        <w:t>NDT Unit Qualification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Coating Inspection</w:t>
      </w:r>
    </w:p>
    <w:p>
      <w:pPr>
        <w:pStyle w:val="ListBullet"/>
        <w:spacing w:before="0" w:after="0"/>
        <w:ind w:left="720" w:hanging="360"/>
        <w:jc w:val="both"/>
      </w:pPr>
      <w:r>
        <w:rPr>
          <w:rFonts w:ascii="Arial" w:hAnsi="Arial"/>
          <w:b w:val="0"/>
          <w:sz w:val="22"/>
        </w:rPr>
        <w:t>Rotating Equipment Inspection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Welding</w:t>
      </w:r>
    </w:p>
    <w:p>
      <w:pPr>
        <w:pStyle w:val="ListBullet"/>
        <w:spacing w:before="0" w:after="0"/>
        <w:ind w:left="720" w:hanging="360"/>
        <w:jc w:val="both"/>
      </w:pPr>
      <w:r>
        <w:rPr>
          <w:rFonts w:ascii="Arial" w:hAnsi="Arial"/>
          <w:b w:val="0"/>
          <w:sz w:val="22"/>
        </w:rPr>
        <w:t>Line Pipe</w:t>
      </w:r>
    </w:p>
    <w:p>
      <w:pPr>
        <w:pStyle w:val="ListBullet"/>
        <w:spacing w:before="0" w:after="0"/>
        <w:ind w:left="720" w:hanging="360"/>
        <w:jc w:val="both"/>
      </w:pPr>
      <w:r>
        <w:rPr>
          <w:rFonts w:ascii="Arial" w:hAnsi="Arial"/>
          <w:b w:val="0"/>
          <w:sz w:val="22"/>
        </w:rPr>
        <w:t>Risers</w:t>
      </w:r>
    </w:p>
    <w:p>
      <w:pPr>
        <w:pStyle w:val="ListBullet"/>
        <w:spacing w:before="0" w:after="0"/>
        <w:ind w:left="720" w:hanging="360"/>
        <w:jc w:val="both"/>
      </w:pPr>
      <w:r>
        <w:rPr>
          <w:rFonts w:ascii="Arial" w:hAnsi="Arial"/>
          <w:b w:val="0"/>
          <w:sz w:val="22"/>
        </w:rPr>
        <w:t>Flowlines</w:t>
      </w:r>
    </w:p>
    <w:p>
      <w:pPr>
        <w:pStyle w:val="ListBullet"/>
        <w:spacing w:before="0" w:after="0"/>
        <w:ind w:left="720" w:hanging="360"/>
        <w:jc w:val="both"/>
      </w:pPr>
      <w:r>
        <w:rPr>
          <w:rFonts w:ascii="Arial" w:hAnsi="Arial"/>
          <w:b w:val="0"/>
          <w:sz w:val="22"/>
        </w:rPr>
        <w:t>Umbilicals</w:t>
      </w:r>
    </w:p>
    <w:p>
      <w:pPr>
        <w:pStyle w:val="ListBullet"/>
        <w:spacing w:before="0" w:after="0"/>
        <w:ind w:left="720" w:hanging="360"/>
        <w:jc w:val="both"/>
      </w:pPr>
      <w:r>
        <w:rPr>
          <w:rFonts w:ascii="Arial" w:hAnsi="Arial"/>
          <w:b w:val="0"/>
          <w:sz w:val="22"/>
        </w:rPr>
        <w:t>Subsea Controls Systems</w:t>
      </w:r>
    </w:p>
    <w:p>
      <w:pPr>
        <w:pStyle w:val="ListBullet"/>
        <w:spacing w:before="0" w:after="0"/>
        <w:ind w:left="720" w:hanging="360"/>
        <w:jc w:val="both"/>
      </w:pPr>
      <w:r>
        <w:rPr>
          <w:rFonts w:ascii="Arial" w:hAnsi="Arial"/>
          <w:b w:val="0"/>
          <w:sz w:val="22"/>
        </w:rPr>
        <w:t>Manifolds</w:t>
      </w:r>
    </w:p>
    <w:p>
      <w:pPr>
        <w:pStyle w:val="ListBullet"/>
        <w:spacing w:before="0" w:after="0"/>
        <w:ind w:left="720" w:hanging="360"/>
        <w:jc w:val="both"/>
      </w:pPr>
      <w:r>
        <w:rPr>
          <w:rFonts w:ascii="Arial" w:hAnsi="Arial"/>
          <w:b w:val="0"/>
          <w:sz w:val="22"/>
        </w:rPr>
        <w:t>Jumpers</w:t>
      </w:r>
    </w:p>
    <w:p>
      <w:pPr>
        <w:pStyle w:val="ListBullet"/>
        <w:spacing w:before="0" w:after="0"/>
        <w:ind w:left="720" w:hanging="360"/>
        <w:jc w:val="both"/>
      </w:pPr>
      <w:r>
        <w:rPr>
          <w:rFonts w:ascii="Arial" w:hAnsi="Arial"/>
          <w:b w:val="0"/>
          <w:sz w:val="22"/>
        </w:rPr>
        <w:t>Super-duplex Tubing</w:t>
      </w:r>
    </w:p>
    <w:p>
      <w:pPr>
        <w:pStyle w:val="ListBullet"/>
        <w:spacing w:before="0" w:after="0"/>
        <w:ind w:left="720" w:hanging="360"/>
        <w:jc w:val="both"/>
      </w:pPr>
      <w:r>
        <w:rPr>
          <w:rFonts w:ascii="Arial" w:hAnsi="Arial"/>
          <w:b w:val="0"/>
          <w:sz w:val="22"/>
        </w:rPr>
        <w:t>Loading Arms</w:t>
      </w:r>
    </w:p>
    <w:p>
      <w:pPr>
        <w:pStyle w:val="ListBullet"/>
        <w:spacing w:before="0" w:after="0"/>
        <w:ind w:left="720" w:hanging="360"/>
        <w:jc w:val="both"/>
      </w:pPr>
      <w:r>
        <w:rPr>
          <w:rFonts w:ascii="Arial" w:hAnsi="Arial"/>
          <w:b w:val="0"/>
          <w:sz w:val="22"/>
        </w:rPr>
        <w:t>Coating Materials</w:t>
      </w:r>
    </w:p>
    <w:p>
      <w:pPr>
        <w:pStyle w:val="ListBullet"/>
        <w:spacing w:before="0" w:after="0"/>
        <w:ind w:left="720" w:hanging="360"/>
        <w:jc w:val="both"/>
      </w:pPr>
      <w:r>
        <w:rPr>
          <w:rFonts w:ascii="Arial" w:hAnsi="Arial"/>
          <w:b w:val="0"/>
          <w:sz w:val="22"/>
        </w:rPr>
        <w:t>Flexibles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Compressors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Mixing Pumps</w:t>
      </w:r>
    </w:p>
    <w:p>
      <w:pPr>
        <w:pStyle w:val="ListBullet"/>
        <w:spacing w:before="0" w:after="0"/>
        <w:ind w:left="720" w:hanging="360"/>
        <w:jc w:val="both"/>
      </w:pPr>
      <w:r>
        <w:rPr>
          <w:rFonts w:ascii="Arial" w:hAnsi="Arial"/>
          <w:b w:val="0"/>
          <w:sz w:val="22"/>
        </w:rPr>
        <w:t>Turbines</w:t>
      </w:r>
    </w:p>
    <w:p>
      <w:pPr>
        <w:pStyle w:val="ListBullet"/>
        <w:spacing w:before="0" w:after="0"/>
        <w:ind w:left="720" w:hanging="360"/>
        <w:jc w:val="both"/>
      </w:pPr>
      <w:r>
        <w:rPr>
          <w:rFonts w:ascii="Arial" w:hAnsi="Arial"/>
          <w:b w:val="0"/>
          <w:sz w:val="22"/>
        </w:rPr>
        <w:t>Radiant Coils</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Catalyst Tubes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Control Panels</w:t>
      </w:r>
    </w:p>
    <w:p>
      <w:pPr>
        <w:pStyle w:val="ListBullet"/>
        <w:spacing w:before="0" w:after="0"/>
        <w:ind w:left="720" w:hanging="360"/>
        <w:jc w:val="both"/>
      </w:pPr>
      <w:r>
        <w:rPr>
          <w:rFonts w:ascii="Arial" w:hAnsi="Arial"/>
          <w:b w:val="0"/>
          <w:sz w:val="22"/>
        </w:rPr>
        <w:t>Generators</w:t>
      </w:r>
    </w:p>
    <w:p>
      <w:pPr>
        <w:pStyle w:val="ListBullet"/>
        <w:spacing w:before="0" w:after="0"/>
        <w:ind w:left="720" w:hanging="360"/>
        <w:jc w:val="both"/>
      </w:pPr>
      <w:r>
        <w:rPr>
          <w:rFonts w:ascii="Arial" w:hAnsi="Arial"/>
          <w:b w:val="0"/>
          <w:sz w:val="22"/>
        </w:rPr>
        <w:t>Gear Boxes</w:t>
      </w:r>
    </w:p>
    <w:p>
      <w:pPr>
        <w:pStyle w:val="ListBullet"/>
        <w:spacing w:before="0" w:after="0"/>
        <w:ind w:left="720" w:hanging="360"/>
        <w:jc w:val="both"/>
      </w:pPr>
      <w:r>
        <w:rPr>
          <w:rFonts w:ascii="Arial" w:hAnsi="Arial"/>
          <w:b w:val="0"/>
          <w:sz w:val="22"/>
        </w:rPr>
        <w:t>Containers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