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HADI DASHTIAN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Hadi Dashtian is an Industrial and QA/QC Inspector with more than 10 years of experience across oil &amp; gas, petrochemical, telecom, and industrial projects. He brings strong capability in non-destructive testing, third-party inspection, and visual, dimensional, and coating inspection of mechanical, electrical, and structural equipment. His experience includes verifying compliance with ASME, API, and ISO 9001:2015 requirements, reviewing FAT documentation, CoCs, test certificates, and fabrication records, and maintaining full inspection traceability. He identifies nonconformities, manages NCR processes, supports audits and handover, and coordinates effectively with EPC, contractors, vendors, and clients to resolve technical issues. He also provides inspection expediting support through supplier progress monitoring, documentation review, material traceability, and delivery coordination, using MS Project, Primavera P6, Power BI, and MS Office.</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Master of Science Global Sustainable Business Management [Amsterdam University of Applied Science and Northumbria University at Newcastle – Netherlands and UK]</w:t>
      </w:r>
    </w:p>
    <w:p>
      <w:pPr>
        <w:pStyle w:val="ListBullet"/>
        <w:spacing w:before="0" w:after="0"/>
        <w:ind w:left="720" w:hanging="360"/>
        <w:jc w:val="both"/>
      </w:pPr>
      <w:r>
        <w:rPr>
          <w:rFonts w:ascii="Arial" w:hAnsi="Arial"/>
          <w:b w:val="0"/>
          <w:sz w:val="22"/>
        </w:rPr>
        <w:t>Bachelor of Science Chemical Engineering – Petroleum Refining. Petrochemicals and Gas Industries [Islamic Azad University - Quchan, Iran]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ASNT Level II VT — acquired Jun 2024; valid till Jun 2027</w:t>
      </w:r>
    </w:p>
    <w:p>
      <w:pPr>
        <w:pStyle w:val="ListBullet"/>
        <w:spacing w:before="0" w:after="0"/>
        <w:ind w:left="720" w:hanging="360"/>
        <w:jc w:val="both"/>
      </w:pPr>
      <w:r>
        <w:rPr>
          <w:rFonts w:ascii="Arial" w:hAnsi="Arial"/>
          <w:b w:val="0"/>
          <w:sz w:val="22"/>
        </w:rPr>
        <w:t>ASNT Level II MT — acquired Sep 2024; valid till Sep 2027</w:t>
      </w:r>
    </w:p>
    <w:p>
      <w:pPr>
        <w:pStyle w:val="ListBullet"/>
        <w:spacing w:before="0" w:after="0"/>
        <w:ind w:left="720" w:hanging="360"/>
        <w:jc w:val="both"/>
      </w:pPr>
      <w:r>
        <w:rPr>
          <w:rFonts w:ascii="Arial" w:hAnsi="Arial"/>
          <w:b w:val="0"/>
          <w:sz w:val="22"/>
        </w:rPr>
        <w:t>ASNT Level II PT — acquired May 2024; valid till May 2027</w:t>
      </w:r>
    </w:p>
    <w:p>
      <w:pPr>
        <w:pStyle w:val="ListBullet"/>
        <w:spacing w:before="0" w:after="0"/>
        <w:ind w:left="720" w:hanging="360"/>
        <w:jc w:val="both"/>
      </w:pPr>
      <w:r>
        <w:rPr>
          <w:rFonts w:ascii="Arial" w:hAnsi="Arial"/>
          <w:b w:val="0"/>
          <w:sz w:val="22"/>
        </w:rPr>
        <w:t>Technical Certification Non-Destructive Testing-ASNT-SNT-TC-1A -Level I &amp; II (VT-MT-PT)</w:t>
      </w:r>
    </w:p>
    <w:p>
      <w:pPr>
        <w:pStyle w:val="ListBullet"/>
        <w:spacing w:before="0" w:after="0"/>
        <w:ind w:left="720" w:hanging="360"/>
        <w:jc w:val="both"/>
      </w:pPr>
      <w:r>
        <w:rPr>
          <w:rFonts w:ascii="Arial" w:hAnsi="Arial"/>
          <w:b w:val="0"/>
          <w:sz w:val="22"/>
        </w:rPr>
        <w:t>ISO 9001:2015 – Quality Management System (QMS): Lead Auditor — acquired Sep 2025; valid till Sep 2028</w:t>
      </w:r>
    </w:p>
    <w:p>
      <w:pPr>
        <w:pStyle w:val="ListBullet"/>
        <w:spacing w:before="0" w:after="0"/>
        <w:ind w:left="720" w:hanging="360"/>
        <w:jc w:val="both"/>
      </w:pPr>
      <w:r>
        <w:rPr>
          <w:rFonts w:ascii="Arial" w:hAnsi="Arial"/>
          <w:b w:val="0"/>
          <w:sz w:val="22"/>
        </w:rPr>
        <w:t>ISO 9001:2015 – QMS Implementation — acquired Jan 2025</w:t>
      </w:r>
    </w:p>
    <w:p>
      <w:pPr>
        <w:pStyle w:val="ListBullet"/>
        <w:spacing w:before="0" w:after="0"/>
        <w:ind w:left="720" w:hanging="360"/>
        <w:jc w:val="both"/>
      </w:pPr>
      <w:r>
        <w:rPr>
          <w:rFonts w:ascii="Arial" w:hAnsi="Arial"/>
          <w:b w:val="0"/>
          <w:sz w:val="22"/>
        </w:rPr>
        <w:t>Foundations of Project Management — acquired Dec 2023</w:t>
      </w:r>
    </w:p>
    <w:p>
      <w:pPr>
        <w:pStyle w:val="ListBullet"/>
        <w:spacing w:before="0" w:after="0"/>
        <w:ind w:left="720" w:hanging="360"/>
        <w:jc w:val="both"/>
      </w:pPr>
      <w:r>
        <w:rPr>
          <w:rFonts w:ascii="Arial" w:hAnsi="Arial"/>
          <w:b w:val="0"/>
          <w:sz w:val="22"/>
        </w:rPr>
        <w:t>Disaster, Crisis, and Emergency Preparedness Communication — acquired Jan 2022</w:t>
      </w:r>
    </w:p>
    <w:p>
      <w:pPr>
        <w:pStyle w:val="ListBullet"/>
        <w:spacing w:before="0" w:after="0"/>
        <w:ind w:left="720" w:hanging="360"/>
        <w:jc w:val="both"/>
      </w:pPr>
      <w:r>
        <w:rPr>
          <w:rFonts w:ascii="Arial" w:hAnsi="Arial"/>
          <w:b w:val="0"/>
          <w:sz w:val="22"/>
        </w:rPr>
        <w:t>HSE-MS — acquired Dec 2013</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ASME Sec II, V, VIII</w:t>
      </w:r>
    </w:p>
    <w:p>
      <w:pPr>
        <w:pStyle w:val="ListBullet"/>
        <w:spacing w:before="0" w:after="0"/>
        <w:ind w:left="720" w:hanging="360"/>
        <w:jc w:val="both"/>
      </w:pPr>
      <w:r>
        <w:rPr>
          <w:rFonts w:ascii="Arial" w:hAnsi="Arial"/>
          <w:b w:val="0"/>
          <w:sz w:val="22"/>
        </w:rPr>
        <w:t>ASME B16.34</w:t>
      </w:r>
    </w:p>
    <w:p>
      <w:pPr>
        <w:pStyle w:val="ListBullet"/>
        <w:spacing w:before="0" w:after="0"/>
        <w:ind w:left="720" w:hanging="360"/>
        <w:jc w:val="both"/>
      </w:pPr>
      <w:r>
        <w:rPr>
          <w:rFonts w:ascii="Arial" w:hAnsi="Arial"/>
          <w:b w:val="0"/>
          <w:sz w:val="22"/>
        </w:rPr>
        <w:t>ASME B31.3</w:t>
      </w:r>
    </w:p>
    <w:p>
      <w:pPr>
        <w:pStyle w:val="ListBullet"/>
        <w:spacing w:before="0" w:after="0"/>
        <w:ind w:left="720" w:hanging="360"/>
        <w:jc w:val="both"/>
      </w:pPr>
      <w:r>
        <w:rPr>
          <w:rFonts w:ascii="Arial" w:hAnsi="Arial"/>
          <w:b w:val="0"/>
          <w:sz w:val="22"/>
        </w:rPr>
        <w:t>ASME B16.5</w:t>
      </w:r>
    </w:p>
    <w:p>
      <w:pPr>
        <w:pStyle w:val="ListBullet"/>
        <w:spacing w:before="0" w:after="0"/>
        <w:ind w:left="720" w:hanging="360"/>
        <w:jc w:val="both"/>
      </w:pPr>
      <w:r>
        <w:rPr>
          <w:rFonts w:ascii="Arial" w:hAnsi="Arial"/>
          <w:b w:val="0"/>
          <w:sz w:val="22"/>
        </w:rPr>
        <w:t>ASME B16.10</w:t>
      </w:r>
    </w:p>
    <w:p>
      <w:pPr>
        <w:pStyle w:val="ListBullet"/>
        <w:spacing w:before="0" w:after="0"/>
        <w:ind w:left="720" w:hanging="360"/>
        <w:jc w:val="both"/>
      </w:pPr>
      <w:r>
        <w:rPr>
          <w:rFonts w:ascii="Arial" w:hAnsi="Arial"/>
          <w:b w:val="0"/>
          <w:sz w:val="22"/>
        </w:rPr>
        <w:t>API598</w:t>
      </w:r>
    </w:p>
    <w:p>
      <w:pPr>
        <w:pStyle w:val="ListBullet"/>
        <w:spacing w:before="0" w:after="0"/>
        <w:ind w:left="720" w:hanging="360"/>
        <w:jc w:val="both"/>
      </w:pPr>
      <w:r>
        <w:rPr>
          <w:rFonts w:ascii="Arial" w:hAnsi="Arial"/>
          <w:b w:val="0"/>
          <w:sz w:val="22"/>
        </w:rPr>
        <w:t>API 6D</w:t>
      </w:r>
    </w:p>
    <w:p>
      <w:pPr>
        <w:pStyle w:val="ListBullet"/>
        <w:spacing w:before="0" w:after="0"/>
        <w:ind w:left="720" w:hanging="360"/>
        <w:jc w:val="both"/>
      </w:pPr>
      <w:r>
        <w:rPr>
          <w:rFonts w:ascii="Arial" w:hAnsi="Arial"/>
          <w:b w:val="0"/>
          <w:sz w:val="22"/>
        </w:rPr>
        <w:t>BS 1414</w:t>
      </w:r>
    </w:p>
    <w:p>
      <w:pPr>
        <w:pStyle w:val="ListBullet"/>
        <w:spacing w:before="0" w:after="0"/>
        <w:ind w:left="720" w:hanging="360"/>
        <w:jc w:val="both"/>
      </w:pPr>
      <w:r>
        <w:rPr>
          <w:rFonts w:ascii="Arial" w:hAnsi="Arial"/>
          <w:b w:val="0"/>
          <w:sz w:val="22"/>
        </w:rPr>
        <w:t>ASTM SEC II.</w:t>
      </w:r>
    </w:p>
    <w:p>
      <w:pPr>
        <w:pStyle w:val="ListBullet"/>
        <w:spacing w:before="0" w:after="0"/>
        <w:ind w:left="720" w:hanging="360"/>
        <w:jc w:val="both"/>
      </w:pPr>
      <w:r>
        <w:rPr>
          <w:rFonts w:ascii="Arial" w:hAnsi="Arial"/>
          <w:b w:val="0"/>
          <w:sz w:val="22"/>
        </w:rPr>
        <w:t>EN10025</w:t>
      </w:r>
    </w:p>
    <w:p>
      <w:pPr>
        <w:pStyle w:val="ListBullet"/>
        <w:spacing w:before="0" w:after="0"/>
        <w:ind w:left="720" w:hanging="360"/>
        <w:jc w:val="both"/>
      </w:pPr>
      <w:r>
        <w:rPr>
          <w:rFonts w:ascii="Arial" w:hAnsi="Arial"/>
          <w:b w:val="0"/>
          <w:sz w:val="22"/>
        </w:rPr>
        <w:t>EN10204</w:t>
      </w:r>
    </w:p>
    <w:p>
      <w:pPr>
        <w:pStyle w:val="ListBullet"/>
        <w:spacing w:before="0" w:after="0"/>
        <w:ind w:left="720" w:hanging="360"/>
        <w:jc w:val="both"/>
      </w:pPr>
      <w:r>
        <w:rPr>
          <w:rFonts w:ascii="Arial" w:hAnsi="Arial"/>
          <w:b w:val="0"/>
          <w:sz w:val="22"/>
        </w:rPr>
        <w:t>EN 10025-2</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2024 – PRESENT</w:t>
      </w:r>
    </w:p>
    <w:p>
      <w:pPr>
        <w:spacing w:before="0" w:after="0"/>
        <w:jc w:val="left"/>
      </w:pPr>
      <w:r>
        <w:rPr>
          <w:rFonts w:ascii="Arial" w:hAnsi="Arial"/>
          <w:b/>
          <w:sz w:val="22"/>
        </w:rPr>
        <w:t>TPI AGENCY</w:t>
      </w:r>
    </w:p>
    <w:p>
      <w:pPr>
        <w:spacing w:before="0" w:after="0"/>
        <w:jc w:val="left"/>
      </w:pPr>
      <w:r>
        <w:rPr>
          <w:rFonts w:ascii="Arial" w:hAnsi="Arial"/>
          <w:b/>
          <w:sz w:val="22"/>
        </w:rPr>
        <w:t>TECHNICAL INSPECTOR &amp; EXPEDITOR</w:t>
      </w:r>
    </w:p>
    <w:p>
      <w:pPr>
        <w:pStyle w:val="ListBullet"/>
        <w:spacing w:before="0" w:after="0"/>
        <w:ind w:left="720" w:hanging="360"/>
        <w:jc w:val="both"/>
      </w:pPr>
      <w:r>
        <w:rPr>
          <w:rFonts w:ascii="Arial" w:hAnsi="Arial"/>
          <w:b w:val="0"/>
          <w:sz w:val="22"/>
        </w:rPr>
        <w:t>Conducted visual and dimensional inspections of mechanical, electrical, and structural equipment according to ITPs, project specifications, and engineering drawings.</w:t>
      </w:r>
    </w:p>
    <w:p>
      <w:pPr>
        <w:pStyle w:val="ListBullet"/>
        <w:spacing w:before="0" w:after="0"/>
        <w:ind w:left="720" w:hanging="360"/>
        <w:jc w:val="both"/>
      </w:pPr>
      <w:r>
        <w:rPr>
          <w:rFonts w:ascii="Arial" w:hAnsi="Arial"/>
          <w:b w:val="0"/>
          <w:sz w:val="22"/>
        </w:rPr>
        <w:t>Verified material compliance by checking Certificates of Conformance (CoC), mill certificates, FAT documents, and test reports against ASME, API, and ISO 9001:2015 requirements.</w:t>
      </w:r>
    </w:p>
    <w:p>
      <w:pPr>
        <w:pStyle w:val="ListBullet"/>
        <w:spacing w:before="0" w:after="0"/>
        <w:ind w:left="720" w:hanging="360"/>
        <w:jc w:val="both"/>
      </w:pPr>
      <w:r>
        <w:rPr>
          <w:rFonts w:ascii="Arial" w:hAnsi="Arial"/>
          <w:b w:val="0"/>
          <w:sz w:val="22"/>
        </w:rPr>
        <w:t>Performed NDT examinations using VT, PT, and MT Level II on welds, fabricated parts, pressure components, and structural assemblies.</w:t>
      </w:r>
    </w:p>
    <w:p>
      <w:pPr>
        <w:pStyle w:val="ListBullet"/>
        <w:spacing w:before="0" w:after="0"/>
        <w:ind w:left="720" w:hanging="360"/>
        <w:jc w:val="both"/>
      </w:pPr>
      <w:r>
        <w:rPr>
          <w:rFonts w:ascii="Arial" w:hAnsi="Arial"/>
          <w:b w:val="0"/>
          <w:sz w:val="22"/>
        </w:rPr>
        <w:t>Carried out coating inspections including DFT measurement, adhesion testing, surface preparation assessment, and color verification.</w:t>
      </w:r>
    </w:p>
    <w:p>
      <w:pPr>
        <w:pStyle w:val="ListBullet"/>
        <w:spacing w:before="0" w:after="0"/>
        <w:ind w:left="720" w:hanging="360"/>
        <w:jc w:val="both"/>
      </w:pPr>
      <w:r>
        <w:rPr>
          <w:rFonts w:ascii="Arial" w:hAnsi="Arial"/>
          <w:b w:val="0"/>
          <w:sz w:val="22"/>
        </w:rPr>
        <w:t>Prepared inspection reports, non-conformance reports, punch lists, and photographic evidence for traceability.</w:t>
      </w:r>
    </w:p>
    <w:p>
      <w:pPr>
        <w:pStyle w:val="ListBullet"/>
        <w:spacing w:before="0" w:after="0"/>
        <w:ind w:left="720" w:hanging="360"/>
        <w:jc w:val="both"/>
      </w:pPr>
      <w:r>
        <w:rPr>
          <w:rFonts w:ascii="Arial" w:hAnsi="Arial"/>
          <w:b w:val="0"/>
          <w:sz w:val="22"/>
        </w:rPr>
        <w:t>Monitored contractor activities to ensure fabrication, installation, and site work complied with QA/QC, HSE, and client standards.</w:t>
      </w:r>
    </w:p>
    <w:p>
      <w:pPr>
        <w:pStyle w:val="ListBullet"/>
        <w:spacing w:before="0" w:after="0"/>
        <w:ind w:left="720" w:hanging="360"/>
        <w:jc w:val="both"/>
      </w:pPr>
      <w:r>
        <w:rPr>
          <w:rFonts w:ascii="Arial" w:hAnsi="Arial"/>
          <w:b w:val="0"/>
          <w:sz w:val="22"/>
        </w:rPr>
        <w:t>Reviewed and approved fabrication and assembly processes against equipment design requirements, dimensional tolerances, and mechanical fit-up.</w:t>
      </w:r>
    </w:p>
    <w:p>
      <w:pPr>
        <w:pStyle w:val="ListBullet"/>
        <w:spacing w:before="0" w:after="0"/>
        <w:ind w:left="720" w:hanging="360"/>
        <w:jc w:val="both"/>
      </w:pPr>
      <w:r>
        <w:rPr>
          <w:rFonts w:ascii="Arial" w:hAnsi="Arial"/>
          <w:b w:val="0"/>
          <w:sz w:val="22"/>
        </w:rPr>
        <w:t>Conducted site audits and internal inspections based on ISO 9001:2015, identifying deviations and initiating corrective and preventive actions (CAPA).</w:t>
      </w:r>
    </w:p>
    <w:p>
      <w:pPr>
        <w:pStyle w:val="ListBullet"/>
        <w:spacing w:before="0" w:after="0"/>
        <w:ind w:left="720" w:hanging="360"/>
        <w:jc w:val="both"/>
      </w:pPr>
      <w:r>
        <w:rPr>
          <w:rFonts w:ascii="Arial" w:hAnsi="Arial"/>
          <w:b w:val="0"/>
          <w:sz w:val="22"/>
        </w:rPr>
        <w:t>Coordinated with EPC, contractors, and client inspectors for joint inspections, technical clarifications, NCR resolution, and quality verification.</w:t>
      </w:r>
    </w:p>
    <w:p>
      <w:pPr>
        <w:pStyle w:val="ListBullet"/>
        <w:spacing w:before="0" w:after="0"/>
        <w:ind w:left="720" w:hanging="360"/>
        <w:jc w:val="both"/>
      </w:pPr>
      <w:r>
        <w:rPr>
          <w:rFonts w:ascii="Arial" w:hAnsi="Arial"/>
          <w:b w:val="0"/>
          <w:sz w:val="22"/>
        </w:rPr>
        <w:t>Ensured handover readiness by validating punch-list clearance, confirming technical completeness, verifying documentation packages, and supporting final acceptance procedures.</w:t>
      </w:r>
    </w:p>
    <w:p>
      <w:pPr>
        <w:pStyle w:val="ListBullet"/>
        <w:spacing w:before="0" w:after="0"/>
        <w:ind w:left="720" w:hanging="360"/>
        <w:jc w:val="both"/>
      </w:pPr>
      <w:r>
        <w:rPr>
          <w:rFonts w:ascii="Arial" w:hAnsi="Arial"/>
          <w:b w:val="0"/>
          <w:sz w:val="22"/>
        </w:rPr>
        <w:t>Monitored supplier production schedules to ensure timely fabrication according to project milestones.</w:t>
      </w:r>
    </w:p>
    <w:p>
      <w:pPr>
        <w:pStyle w:val="ListBullet"/>
        <w:spacing w:before="0" w:after="0"/>
        <w:ind w:left="720" w:hanging="360"/>
        <w:jc w:val="both"/>
      </w:pPr>
      <w:r>
        <w:rPr>
          <w:rFonts w:ascii="Arial" w:hAnsi="Arial"/>
          <w:b w:val="0"/>
          <w:sz w:val="22"/>
        </w:rPr>
        <w:t>Coordinated with vendors and subcontractors to track purchase order status, material readiness, document submissions, and shipment preparation.</w:t>
      </w:r>
    </w:p>
    <w:p>
      <w:pPr>
        <w:pStyle w:val="ListBullet"/>
        <w:spacing w:before="0" w:after="0"/>
        <w:ind w:left="720" w:hanging="360"/>
        <w:jc w:val="both"/>
      </w:pPr>
      <w:r>
        <w:rPr>
          <w:rFonts w:ascii="Arial" w:hAnsi="Arial"/>
          <w:b w:val="0"/>
          <w:sz w:val="22"/>
        </w:rPr>
        <w:t>Verified documentation packages including manufacturing records, FAT procedures, CoCs, ITPs, and inspection reports before dispatch.</w:t>
      </w:r>
    </w:p>
    <w:p>
      <w:pPr>
        <w:pStyle w:val="ListBullet"/>
        <w:spacing w:before="0" w:after="0"/>
        <w:ind w:left="720" w:hanging="360"/>
        <w:jc w:val="both"/>
      </w:pPr>
      <w:r>
        <w:rPr>
          <w:rFonts w:ascii="Arial" w:hAnsi="Arial"/>
          <w:b w:val="0"/>
          <w:sz w:val="22"/>
        </w:rPr>
        <w:t>Performed shop and field expediting visits to observe progress, identify bottlenecks, assess resource allocation, and confirm adherence to agreed timelines.</w:t>
      </w:r>
    </w:p>
    <w:p>
      <w:pPr>
        <w:pStyle w:val="ListBullet"/>
        <w:spacing w:before="0" w:after="0"/>
        <w:ind w:left="720" w:hanging="360"/>
        <w:jc w:val="both"/>
      </w:pPr>
      <w:r>
        <w:rPr>
          <w:rFonts w:ascii="Arial" w:hAnsi="Arial"/>
          <w:b w:val="0"/>
          <w:sz w:val="22"/>
        </w:rPr>
        <w:t>Followed up on NCR and punch-list resolutions with suppliers to ensure corrective actions and avoid delivery delays.</w:t>
      </w:r>
    </w:p>
    <w:p>
      <w:pPr>
        <w:pStyle w:val="ListBullet"/>
        <w:spacing w:before="0" w:after="0"/>
        <w:ind w:left="720" w:hanging="360"/>
        <w:jc w:val="both"/>
      </w:pPr>
      <w:r>
        <w:rPr>
          <w:rFonts w:ascii="Arial" w:hAnsi="Arial"/>
          <w:b w:val="0"/>
          <w:sz w:val="22"/>
        </w:rPr>
        <w:t>Ensured material traceability and identification by checking tagging, packing lists, labeling, and logistics requirements.</w:t>
      </w:r>
    </w:p>
    <w:p>
      <w:pPr>
        <w:pStyle w:val="ListBullet"/>
        <w:spacing w:before="0" w:after="0"/>
        <w:ind w:left="720" w:hanging="360"/>
        <w:jc w:val="both"/>
      </w:pPr>
      <w:r>
        <w:rPr>
          <w:rFonts w:ascii="Arial" w:hAnsi="Arial"/>
          <w:b w:val="0"/>
          <w:sz w:val="22"/>
        </w:rPr>
        <w:t>Coordinated with logistics, warehouse, and QA/QC teams to ensure received equipment met specifications and was properly handled upon arrival.</w:t>
      </w:r>
    </w:p>
    <w:p>
      <w:pPr>
        <w:pStyle w:val="ListBullet"/>
        <w:spacing w:before="0" w:after="0"/>
        <w:ind w:left="720" w:hanging="360"/>
        <w:jc w:val="both"/>
      </w:pPr>
      <w:r>
        <w:rPr>
          <w:rFonts w:ascii="Arial" w:hAnsi="Arial"/>
          <w:b w:val="0"/>
          <w:sz w:val="22"/>
        </w:rPr>
        <w:t>Reviewed manufacturing progress reports, production logs, and delivery schedules to provide status updates to EPC and client teams.</w:t>
      </w:r>
    </w:p>
    <w:p>
      <w:pPr>
        <w:pStyle w:val="ListBullet"/>
        <w:spacing w:before="0" w:after="0"/>
        <w:ind w:left="720" w:hanging="360"/>
        <w:jc w:val="both"/>
      </w:pPr>
      <w:r>
        <w:rPr>
          <w:rFonts w:ascii="Arial" w:hAnsi="Arial"/>
          <w:b w:val="0"/>
          <w:sz w:val="22"/>
        </w:rPr>
        <w:t>Facilitated communication between engineering, procurement, QA/QC, and vendors to resolve technical queries and documentation gaps affecting delivery.</w:t>
      </w:r>
    </w:p>
    <w:p>
      <w:pPr>
        <w:pStyle w:val="ListBullet"/>
        <w:spacing w:before="0" w:after="0"/>
        <w:ind w:left="720" w:hanging="360"/>
        <w:jc w:val="both"/>
      </w:pPr>
      <w:r>
        <w:rPr>
          <w:rFonts w:ascii="Arial" w:hAnsi="Arial"/>
          <w:b w:val="0"/>
          <w:sz w:val="22"/>
        </w:rPr>
        <w:t>Ensured supplier compliance with contractual delivery dates through reminder notices, progress alerts, and escalation reports.</w:t>
      </w:r>
    </w:p>
    <w:p>
      <w:pPr>
        <w:spacing w:before="0" w:after="0"/>
      </w:pPr>
    </w:p>
    <w:p>
      <w:pPr>
        <w:spacing w:before="0" w:after="0"/>
        <w:jc w:val="left"/>
      </w:pPr>
      <w:r>
        <w:rPr>
          <w:rFonts w:ascii="Arial" w:hAnsi="Arial"/>
          <w:b/>
          <w:sz w:val="22"/>
        </w:rPr>
        <w:t>2023 – 2025</w:t>
      </w:r>
    </w:p>
    <w:p>
      <w:pPr>
        <w:spacing w:before="0" w:after="0"/>
        <w:jc w:val="left"/>
      </w:pPr>
      <w:r>
        <w:rPr>
          <w:rFonts w:ascii="Arial" w:hAnsi="Arial"/>
          <w:b/>
          <w:sz w:val="22"/>
        </w:rPr>
        <w:t>FREELANCE (VARIOUS CLIENTS)</w:t>
      </w:r>
    </w:p>
    <w:p>
      <w:pPr>
        <w:spacing w:before="0" w:after="0"/>
      </w:pPr>
    </w:p>
    <w:p>
      <w:pPr>
        <w:spacing w:before="0" w:after="0"/>
        <w:jc w:val="left"/>
      </w:pPr>
      <w:r>
        <w:rPr>
          <w:rFonts w:ascii="Arial" w:hAnsi="Arial"/>
          <w:b/>
          <w:sz w:val="22"/>
        </w:rPr>
        <w:t>2022 – 2023</w:t>
      </w:r>
    </w:p>
    <w:p>
      <w:pPr>
        <w:spacing w:before="0" w:after="0"/>
        <w:jc w:val="left"/>
      </w:pPr>
      <w:r>
        <w:rPr>
          <w:rFonts w:ascii="Arial" w:hAnsi="Arial"/>
          <w:b/>
          <w:sz w:val="22"/>
        </w:rPr>
        <w:t>ABADAN REFINERY</w:t>
      </w:r>
    </w:p>
    <w:p>
      <w:pPr>
        <w:spacing w:before="0" w:after="0"/>
        <w:jc w:val="left"/>
      </w:pPr>
      <w:r>
        <w:rPr>
          <w:rFonts w:ascii="Arial" w:hAnsi="Arial"/>
          <w:b/>
          <w:sz w:val="22"/>
        </w:rPr>
        <w:t>PROJECT ENGINEER</w:t>
      </w:r>
    </w:p>
    <w:p>
      <w:pPr>
        <w:spacing w:before="0" w:after="0"/>
      </w:pPr>
    </w:p>
    <w:p>
      <w:pPr>
        <w:spacing w:before="0" w:after="0"/>
        <w:jc w:val="left"/>
      </w:pPr>
      <w:r>
        <w:rPr>
          <w:rFonts w:ascii="Arial" w:hAnsi="Arial"/>
          <w:b/>
          <w:sz w:val="22"/>
        </w:rPr>
        <w:t>2019 – 2022</w:t>
      </w:r>
    </w:p>
    <w:p>
      <w:pPr>
        <w:spacing w:before="0" w:after="0"/>
        <w:jc w:val="left"/>
      </w:pPr>
      <w:r>
        <w:rPr>
          <w:rFonts w:ascii="Arial" w:hAnsi="Arial"/>
          <w:b/>
          <w:sz w:val="22"/>
        </w:rPr>
        <w:t>HAMRAHE AVAL</w:t>
      </w:r>
    </w:p>
    <w:p>
      <w:pPr>
        <w:spacing w:before="0" w:after="0"/>
        <w:jc w:val="left"/>
      </w:pPr>
      <w:r>
        <w:rPr>
          <w:rFonts w:ascii="Arial" w:hAnsi="Arial"/>
          <w:b/>
          <w:sz w:val="22"/>
        </w:rPr>
        <w:t>QUALITY &amp; COMPLIANCE COORDINATOR</w:t>
      </w:r>
    </w:p>
    <w:p>
      <w:pPr>
        <w:spacing w:before="0" w:after="0"/>
      </w:pPr>
    </w:p>
    <w:p>
      <w:pPr>
        <w:spacing w:before="0" w:after="0"/>
        <w:jc w:val="left"/>
      </w:pPr>
      <w:r>
        <w:rPr>
          <w:rFonts w:ascii="Arial" w:hAnsi="Arial"/>
          <w:b/>
          <w:sz w:val="22"/>
        </w:rPr>
        <w:t>2018 – 2019</w:t>
      </w:r>
    </w:p>
    <w:p>
      <w:pPr>
        <w:spacing w:before="0" w:after="0"/>
        <w:jc w:val="left"/>
      </w:pPr>
      <w:r>
        <w:rPr>
          <w:rFonts w:ascii="Arial" w:hAnsi="Arial"/>
          <w:b/>
          <w:sz w:val="22"/>
        </w:rPr>
        <w:t>TPI AGENCY</w:t>
      </w:r>
    </w:p>
    <w:p>
      <w:pPr>
        <w:spacing w:before="0" w:after="0"/>
        <w:jc w:val="left"/>
      </w:pPr>
      <w:r>
        <w:rPr>
          <w:rFonts w:ascii="Arial" w:hAnsi="Arial"/>
          <w:b/>
          <w:sz w:val="22"/>
        </w:rPr>
        <w:t>TECHNICAL INSPECTOR</w:t>
      </w:r>
    </w:p>
    <w:p>
      <w:pPr>
        <w:spacing w:before="0" w:after="0"/>
      </w:pPr>
    </w:p>
    <w:p>
      <w:pPr>
        <w:spacing w:before="0" w:after="0"/>
        <w:jc w:val="left"/>
      </w:pPr>
      <w:r>
        <w:rPr>
          <w:rFonts w:ascii="Arial" w:hAnsi="Arial"/>
          <w:b/>
          <w:sz w:val="22"/>
        </w:rPr>
        <w:t>2015 – 2018</w:t>
      </w:r>
    </w:p>
    <w:p>
      <w:pPr>
        <w:spacing w:before="0" w:after="0"/>
        <w:jc w:val="left"/>
      </w:pPr>
      <w:r>
        <w:rPr>
          <w:rFonts w:ascii="Arial" w:hAnsi="Arial"/>
          <w:b/>
          <w:sz w:val="22"/>
        </w:rPr>
        <w:t>PAK SIMAYE MATIN GOLESTAN CO</w:t>
      </w:r>
    </w:p>
    <w:p>
      <w:pPr>
        <w:spacing w:before="0" w:after="0"/>
        <w:jc w:val="left"/>
      </w:pPr>
      <w:r>
        <w:rPr>
          <w:rFonts w:ascii="Arial" w:hAnsi="Arial"/>
          <w:b/>
          <w:sz w:val="22"/>
        </w:rPr>
        <w:t>QUALITY CONTROL</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551"/>
        <w:gridCol w:w="2551"/>
        <w:gridCol w:w="2551"/>
        <w:gridCol w:w="2551"/>
      </w:tblGrid>
      <w:tr>
        <w:tc>
          <w:tcPr>
            <w:tcW w:type="dxa" w:w="2551"/>
          </w:tcPr>
          <w:p>
            <w:pPr>
              <w:spacing w:before="0" w:after="0"/>
              <w:jc w:val="left"/>
            </w:pPr>
            <w:r>
              <w:rPr>
                <w:rFonts w:ascii="Arial" w:hAnsi="Arial"/>
                <w:b/>
                <w:sz w:val="22"/>
              </w:rPr>
              <w:t>Client</w:t>
            </w:r>
          </w:p>
        </w:tc>
        <w:tc>
          <w:tcPr>
            <w:tcW w:type="dxa" w:w="2551"/>
          </w:tcPr>
          <w:p>
            <w:pPr>
              <w:spacing w:before="0" w:after="0"/>
              <w:jc w:val="left"/>
            </w:pPr>
            <w:r>
              <w:rPr>
                <w:rFonts w:ascii="Arial" w:hAnsi="Arial"/>
                <w:b/>
                <w:sz w:val="22"/>
              </w:rPr>
              <w:t>Vendor</w:t>
            </w:r>
          </w:p>
        </w:tc>
        <w:tc>
          <w:tcPr>
            <w:tcW w:type="dxa" w:w="2551"/>
          </w:tcPr>
          <w:p>
            <w:pPr>
              <w:spacing w:before="0" w:after="0"/>
              <w:jc w:val="left"/>
            </w:pPr>
            <w:r>
              <w:rPr>
                <w:rFonts w:ascii="Arial" w:hAnsi="Arial"/>
                <w:b/>
                <w:sz w:val="22"/>
              </w:rPr>
              <w:t>Items</w:t>
            </w:r>
          </w:p>
        </w:tc>
        <w:tc>
          <w:tcPr>
            <w:tcW w:type="dxa" w:w="2551"/>
          </w:tcPr>
          <w:p>
            <w:pPr>
              <w:spacing w:before="0" w:after="0"/>
              <w:jc w:val="left"/>
            </w:pPr>
            <w:r>
              <w:rPr>
                <w:rFonts w:ascii="Arial" w:hAnsi="Arial"/>
                <w:b/>
                <w:sz w:val="22"/>
              </w:rPr>
              <w:t>Inspection Activity</w:t>
            </w:r>
          </w:p>
        </w:tc>
      </w:tr>
      <w:tr>
        <w:tc>
          <w:tcPr>
            <w:tcW w:type="dxa" w:w="2551"/>
          </w:tcPr>
          <w:p>
            <w:pPr>
              <w:spacing w:before="0" w:after="0"/>
              <w:jc w:val="left"/>
            </w:pPr>
            <w:r>
              <w:rPr>
                <w:rFonts w:ascii="Arial" w:hAnsi="Arial"/>
                <w:b w:val="0"/>
                <w:sz w:val="22"/>
              </w:rPr>
              <w:t>Exir sanat</w:t>
            </w:r>
          </w:p>
        </w:tc>
        <w:tc>
          <w:tcPr>
            <w:tcW w:type="dxa" w:w="2551"/>
          </w:tcPr>
          <w:p>
            <w:pPr>
              <w:spacing w:before="0" w:after="0"/>
              <w:jc w:val="left"/>
            </w:pPr>
            <w:r>
              <w:rPr>
                <w:rFonts w:ascii="Arial" w:hAnsi="Arial"/>
                <w:b w:val="0"/>
                <w:sz w:val="22"/>
              </w:rPr>
              <w:t>Fateh sanat</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Tube Arrangement Hydrostatic Test Dimension and Visual Check</w:t>
            </w:r>
          </w:p>
        </w:tc>
      </w:tr>
      <w:tr>
        <w:tc>
          <w:tcPr>
            <w:tcW w:type="dxa" w:w="2551"/>
          </w:tcPr>
          <w:p>
            <w:pPr>
              <w:spacing w:before="0" w:after="0"/>
              <w:jc w:val="left"/>
            </w:pPr>
            <w:r>
              <w:rPr>
                <w:rFonts w:ascii="Arial" w:hAnsi="Arial"/>
                <w:b w:val="0"/>
                <w:sz w:val="22"/>
              </w:rPr>
              <w:t>Chegalesh Co</w:t>
            </w:r>
          </w:p>
        </w:tc>
        <w:tc>
          <w:tcPr>
            <w:tcW w:type="dxa" w:w="2551"/>
          </w:tcPr>
          <w:p>
            <w:pPr>
              <w:spacing w:before="0" w:after="0"/>
              <w:jc w:val="left"/>
            </w:pPr>
            <w:r>
              <w:rPr>
                <w:rFonts w:ascii="Arial" w:hAnsi="Arial"/>
                <w:b w:val="0"/>
                <w:sz w:val="22"/>
              </w:rPr>
              <w:t>MFS</w:t>
            </w:r>
          </w:p>
        </w:tc>
        <w:tc>
          <w:tcPr>
            <w:tcW w:type="dxa" w:w="2551"/>
          </w:tcPr>
          <w:p>
            <w:pPr>
              <w:spacing w:before="0" w:after="0"/>
              <w:jc w:val="left"/>
            </w:pPr>
            <w:r>
              <w:rPr>
                <w:rFonts w:ascii="Arial" w:hAnsi="Arial"/>
                <w:b w:val="0"/>
                <w:sz w:val="22"/>
              </w:rPr>
              <w:t>Tower</w:t>
            </w:r>
          </w:p>
        </w:tc>
        <w:tc>
          <w:tcPr>
            <w:tcW w:type="dxa" w:w="2551"/>
          </w:tcPr>
          <w:p>
            <w:pPr>
              <w:spacing w:before="0" w:after="0"/>
              <w:jc w:val="left"/>
            </w:pPr>
            <w:r>
              <w:rPr>
                <w:rFonts w:ascii="Arial" w:hAnsi="Arial"/>
                <w:b w:val="0"/>
                <w:sz w:val="22"/>
              </w:rPr>
              <w:t>Document Review Tray Alignment Nozzle Orientation Flange Face Checking Ovality check Dimension and Visual Check</w:t>
            </w:r>
          </w:p>
        </w:tc>
      </w:tr>
      <w:tr>
        <w:tc>
          <w:tcPr>
            <w:tcW w:type="dxa" w:w="2551"/>
          </w:tcPr>
          <w:p>
            <w:pPr>
              <w:spacing w:before="0" w:after="0"/>
              <w:jc w:val="left"/>
            </w:pPr>
            <w:r>
              <w:rPr>
                <w:rFonts w:ascii="Arial" w:hAnsi="Arial"/>
                <w:b w:val="0"/>
                <w:sz w:val="22"/>
              </w:rPr>
              <w:t>Namvaran</w:t>
            </w:r>
          </w:p>
        </w:tc>
        <w:tc>
          <w:tcPr>
            <w:tcW w:type="dxa" w:w="2551"/>
          </w:tcPr>
          <w:p>
            <w:pPr>
              <w:spacing w:before="0" w:after="0"/>
              <w:jc w:val="left"/>
            </w:pPr>
            <w:r>
              <w:rPr>
                <w:rFonts w:ascii="Arial" w:hAnsi="Arial"/>
                <w:b w:val="0"/>
                <w:sz w:val="22"/>
              </w:rPr>
              <w:t>Fateh sanat</w:t>
            </w:r>
          </w:p>
        </w:tc>
        <w:tc>
          <w:tcPr>
            <w:tcW w:type="dxa" w:w="2551"/>
          </w:tcPr>
          <w:p>
            <w:pPr>
              <w:spacing w:before="0" w:after="0"/>
              <w:jc w:val="left"/>
            </w:pPr>
            <w:r>
              <w:rPr>
                <w:rFonts w:ascii="Arial" w:hAnsi="Arial"/>
                <w:b w:val="0"/>
                <w:sz w:val="22"/>
              </w:rPr>
              <w:t>Agitator</w:t>
            </w:r>
          </w:p>
        </w:tc>
        <w:tc>
          <w:tcPr>
            <w:tcW w:type="dxa" w:w="2551"/>
          </w:tcPr>
          <w:p>
            <w:pPr>
              <w:spacing w:before="0" w:after="0"/>
              <w:jc w:val="left"/>
            </w:pPr>
            <w:r>
              <w:rPr>
                <w:rFonts w:ascii="Arial" w:hAnsi="Arial"/>
                <w:b w:val="0"/>
                <w:sz w:val="22"/>
              </w:rPr>
              <w:t>Mechanical Running Test</w:t>
            </w:r>
          </w:p>
        </w:tc>
      </w:tr>
      <w:tr>
        <w:tc>
          <w:tcPr>
            <w:tcW w:type="dxa" w:w="2551"/>
          </w:tcPr>
          <w:p>
            <w:pPr>
              <w:spacing w:before="0" w:after="0"/>
              <w:jc w:val="left"/>
            </w:pPr>
            <w:r>
              <w:rPr>
                <w:rFonts w:ascii="Arial" w:hAnsi="Arial"/>
                <w:b w:val="0"/>
                <w:sz w:val="22"/>
              </w:rPr>
              <w:t>Exir sanat</w:t>
            </w:r>
          </w:p>
        </w:tc>
        <w:tc>
          <w:tcPr>
            <w:tcW w:type="dxa" w:w="2551"/>
          </w:tcPr>
          <w:p>
            <w:pPr>
              <w:spacing w:before="0" w:after="0"/>
              <w:jc w:val="left"/>
            </w:pPr>
            <w:r>
              <w:rPr>
                <w:rFonts w:ascii="Arial" w:hAnsi="Arial"/>
                <w:b w:val="0"/>
                <w:sz w:val="22"/>
              </w:rPr>
              <w:t>Pars godakhtar</w:t>
            </w:r>
          </w:p>
        </w:tc>
        <w:tc>
          <w:tcPr>
            <w:tcW w:type="dxa" w:w="2551"/>
          </w:tcPr>
          <w:p>
            <w:pPr>
              <w:spacing w:before="0" w:after="0"/>
              <w:jc w:val="left"/>
            </w:pPr>
            <w:r>
              <w:rPr>
                <w:rFonts w:ascii="Arial" w:hAnsi="Arial"/>
                <w:b w:val="0"/>
                <w:sz w:val="22"/>
              </w:rPr>
              <w:t>Valve</w:t>
            </w:r>
          </w:p>
        </w:tc>
        <w:tc>
          <w:tcPr>
            <w:tcW w:type="dxa" w:w="2551"/>
          </w:tcPr>
          <w:p>
            <w:pPr>
              <w:spacing w:before="0" w:after="0"/>
              <w:jc w:val="left"/>
            </w:pPr>
            <w:r>
              <w:rPr>
                <w:rFonts w:ascii="Arial" w:hAnsi="Arial"/>
                <w:b w:val="0"/>
                <w:sz w:val="22"/>
              </w:rPr>
              <w:t>Visual and Dimensional Inspection Leak Test DFT</w:t>
            </w:r>
          </w:p>
        </w:tc>
      </w:tr>
      <w:tr>
        <w:tc>
          <w:tcPr>
            <w:tcW w:type="dxa" w:w="2551"/>
          </w:tcPr>
          <w:p>
            <w:pPr>
              <w:spacing w:before="0" w:after="0"/>
              <w:jc w:val="left"/>
            </w:pPr>
            <w:r>
              <w:rPr>
                <w:rFonts w:ascii="Arial" w:hAnsi="Arial"/>
                <w:b w:val="0"/>
                <w:sz w:val="22"/>
              </w:rPr>
              <w:t>Exir sanat</w:t>
            </w:r>
          </w:p>
        </w:tc>
        <w:tc>
          <w:tcPr>
            <w:tcW w:type="dxa" w:w="2551"/>
          </w:tcPr>
          <w:p>
            <w:pPr>
              <w:spacing w:before="0" w:after="0"/>
              <w:jc w:val="left"/>
            </w:pPr>
            <w:r>
              <w:rPr>
                <w:rFonts w:ascii="Arial" w:hAnsi="Arial"/>
                <w:b w:val="0"/>
                <w:sz w:val="22"/>
              </w:rPr>
              <w:t>Safa</w:t>
            </w:r>
          </w:p>
        </w:tc>
        <w:tc>
          <w:tcPr>
            <w:tcW w:type="dxa" w:w="2551"/>
          </w:tcPr>
          <w:p>
            <w:pPr>
              <w:spacing w:before="0" w:after="0"/>
              <w:jc w:val="left"/>
            </w:pPr>
            <w:r>
              <w:rPr>
                <w:rFonts w:ascii="Arial" w:hAnsi="Arial"/>
                <w:b w:val="0"/>
                <w:sz w:val="22"/>
              </w:rPr>
              <w:t>Pipe</w:t>
            </w:r>
          </w:p>
        </w:tc>
        <w:tc>
          <w:tcPr>
            <w:tcW w:type="dxa" w:w="2551"/>
          </w:tcPr>
          <w:p>
            <w:pPr>
              <w:spacing w:before="0" w:after="0"/>
              <w:jc w:val="left"/>
            </w:pPr>
            <w:r>
              <w:rPr>
                <w:rFonts w:ascii="Arial" w:hAnsi="Arial"/>
                <w:b w:val="0"/>
                <w:sz w:val="22"/>
              </w:rPr>
              <w:t>PMI Heat Number Check Surface Cleaning Check</w:t>
            </w:r>
          </w:p>
        </w:tc>
      </w:tr>
      <w:tr>
        <w:tc>
          <w:tcPr>
            <w:tcW w:type="dxa" w:w="2551"/>
          </w:tcPr>
          <w:p>
            <w:pPr>
              <w:spacing w:before="0" w:after="0"/>
              <w:jc w:val="left"/>
            </w:pPr>
            <w:r>
              <w:rPr>
                <w:rFonts w:ascii="Arial" w:hAnsi="Arial"/>
                <w:b w:val="0"/>
                <w:sz w:val="22"/>
              </w:rPr>
              <w:t>ODCC</w:t>
            </w:r>
          </w:p>
        </w:tc>
        <w:tc>
          <w:tcPr>
            <w:tcW w:type="dxa" w:w="2551"/>
          </w:tcPr>
          <w:p>
            <w:pPr>
              <w:spacing w:before="0" w:after="0"/>
              <w:jc w:val="left"/>
            </w:pPr>
            <w:r>
              <w:rPr>
                <w:rFonts w:ascii="Arial" w:hAnsi="Arial"/>
                <w:b w:val="0"/>
                <w:sz w:val="22"/>
              </w:rPr>
              <w:t>Machine Sazi Arak</w:t>
            </w:r>
          </w:p>
        </w:tc>
        <w:tc>
          <w:tcPr>
            <w:tcW w:type="dxa" w:w="2551"/>
          </w:tcPr>
          <w:p>
            <w:pPr>
              <w:spacing w:before="0" w:after="0"/>
              <w:jc w:val="left"/>
            </w:pPr>
            <w:r>
              <w:rPr>
                <w:rFonts w:ascii="Arial" w:hAnsi="Arial"/>
                <w:b w:val="0"/>
                <w:sz w:val="22"/>
              </w:rPr>
              <w:t>Vessel</w:t>
            </w:r>
          </w:p>
        </w:tc>
        <w:tc>
          <w:tcPr>
            <w:tcW w:type="dxa" w:w="2551"/>
          </w:tcPr>
          <w:p>
            <w:pPr>
              <w:spacing w:before="0" w:after="0"/>
              <w:jc w:val="left"/>
            </w:pPr>
            <w:r>
              <w:rPr>
                <w:rFonts w:ascii="Arial" w:hAnsi="Arial"/>
                <w:b w:val="0"/>
                <w:sz w:val="22"/>
              </w:rPr>
              <w:t>Hydrostatic Test PMI</w:t>
            </w:r>
          </w:p>
        </w:tc>
      </w:tr>
      <w:tr>
        <w:tc>
          <w:tcPr>
            <w:tcW w:type="dxa" w:w="2551"/>
          </w:tcPr>
          <w:p>
            <w:pPr>
              <w:spacing w:before="0" w:after="0"/>
              <w:jc w:val="left"/>
            </w:pPr>
            <w:r>
              <w:rPr>
                <w:rFonts w:ascii="Arial" w:hAnsi="Arial"/>
                <w:b w:val="0"/>
                <w:sz w:val="22"/>
              </w:rPr>
              <w:t>Sazeh Co</w:t>
            </w:r>
          </w:p>
        </w:tc>
        <w:tc>
          <w:tcPr>
            <w:tcW w:type="dxa" w:w="2551"/>
          </w:tcPr>
          <w:p>
            <w:pPr>
              <w:spacing w:before="0" w:after="0"/>
              <w:jc w:val="left"/>
            </w:pPr>
            <w:r>
              <w:rPr>
                <w:rFonts w:ascii="Arial" w:hAnsi="Arial"/>
                <w:b w:val="0"/>
                <w:sz w:val="22"/>
              </w:rPr>
              <w:t>Machine Sazi Arak</w:t>
            </w:r>
          </w:p>
        </w:tc>
        <w:tc>
          <w:tcPr>
            <w:tcW w:type="dxa" w:w="2551"/>
          </w:tcPr>
          <w:p>
            <w:pPr>
              <w:spacing w:before="0" w:after="0"/>
              <w:jc w:val="left"/>
            </w:pPr>
            <w:r>
              <w:rPr>
                <w:rFonts w:ascii="Arial" w:hAnsi="Arial"/>
                <w:b w:val="0"/>
                <w:sz w:val="22"/>
              </w:rPr>
              <w:t>Tower</w:t>
            </w:r>
          </w:p>
        </w:tc>
        <w:tc>
          <w:tcPr>
            <w:tcW w:type="dxa" w:w="2551"/>
          </w:tcPr>
          <w:p>
            <w:pPr>
              <w:spacing w:before="0" w:after="0"/>
              <w:jc w:val="left"/>
            </w:pPr>
            <w:r>
              <w:rPr>
                <w:rFonts w:ascii="Arial" w:hAnsi="Arial"/>
                <w:b w:val="0"/>
                <w:sz w:val="22"/>
              </w:rPr>
              <w:t>Document Review Tray Alignment Nozzle Orientation Flange Face Checking Ovality Check Dimension and Visual Check Release Notes</w:t>
            </w:r>
          </w:p>
        </w:tc>
      </w:tr>
      <w:tr>
        <w:tc>
          <w:tcPr>
            <w:tcW w:type="dxa" w:w="2551"/>
          </w:tcPr>
          <w:p>
            <w:pPr>
              <w:spacing w:before="0" w:after="0"/>
              <w:jc w:val="left"/>
            </w:pPr>
            <w:r>
              <w:rPr>
                <w:rFonts w:ascii="Arial" w:hAnsi="Arial"/>
                <w:b w:val="0"/>
                <w:sz w:val="22"/>
              </w:rPr>
              <w:t>Sazeh Co</w:t>
            </w:r>
          </w:p>
        </w:tc>
        <w:tc>
          <w:tcPr>
            <w:tcW w:type="dxa" w:w="2551"/>
          </w:tcPr>
          <w:p>
            <w:pPr>
              <w:spacing w:before="0" w:after="0"/>
              <w:jc w:val="left"/>
            </w:pPr>
            <w:r>
              <w:rPr>
                <w:rFonts w:ascii="Arial" w:hAnsi="Arial"/>
                <w:b w:val="0"/>
                <w:sz w:val="22"/>
              </w:rPr>
              <w:t>Petropedam</w:t>
            </w:r>
          </w:p>
        </w:tc>
        <w:tc>
          <w:tcPr>
            <w:tcW w:type="dxa" w:w="2551"/>
          </w:tcPr>
          <w:p>
            <w:pPr>
              <w:spacing w:before="0" w:after="0"/>
              <w:jc w:val="left"/>
            </w:pPr>
            <w:r>
              <w:rPr>
                <w:rFonts w:ascii="Arial" w:hAnsi="Arial"/>
                <w:b w:val="0"/>
                <w:sz w:val="22"/>
              </w:rPr>
              <w:t>Pump</w:t>
            </w:r>
          </w:p>
        </w:tc>
        <w:tc>
          <w:tcPr>
            <w:tcW w:type="dxa" w:w="2551"/>
          </w:tcPr>
          <w:p>
            <w:pPr>
              <w:spacing w:before="0" w:after="0"/>
              <w:jc w:val="left"/>
            </w:pPr>
            <w:r>
              <w:rPr>
                <w:rFonts w:ascii="Arial" w:hAnsi="Arial"/>
                <w:b w:val="0"/>
                <w:sz w:val="22"/>
              </w:rPr>
              <w:t>NPSH calculation Performance curve check</w:t>
            </w:r>
          </w:p>
        </w:tc>
      </w:tr>
      <w:tr>
        <w:tc>
          <w:tcPr>
            <w:tcW w:type="dxa" w:w="2551"/>
          </w:tcPr>
          <w:p>
            <w:pPr>
              <w:spacing w:before="0" w:after="0"/>
              <w:jc w:val="left"/>
            </w:pPr>
            <w:r>
              <w:rPr>
                <w:rFonts w:ascii="Arial" w:hAnsi="Arial"/>
                <w:b w:val="0"/>
                <w:sz w:val="22"/>
              </w:rPr>
              <w:t>Sadeghian Inspection</w:t>
            </w:r>
          </w:p>
        </w:tc>
        <w:tc>
          <w:tcPr>
            <w:tcW w:type="dxa" w:w="2551"/>
          </w:tcPr>
          <w:p>
            <w:pPr>
              <w:spacing w:before="0" w:after="0"/>
              <w:jc w:val="left"/>
            </w:pPr>
            <w:r>
              <w:rPr>
                <w:rFonts w:ascii="Arial" w:hAnsi="Arial"/>
                <w:b w:val="0"/>
                <w:sz w:val="22"/>
              </w:rPr>
              <w:t>Tehran Mobadel</w:t>
            </w:r>
          </w:p>
        </w:tc>
        <w:tc>
          <w:tcPr>
            <w:tcW w:type="dxa" w:w="2551"/>
          </w:tcPr>
          <w:p>
            <w:pPr>
              <w:spacing w:before="0" w:after="0"/>
              <w:jc w:val="left"/>
            </w:pPr>
            <w:r>
              <w:rPr>
                <w:rFonts w:ascii="Arial" w:hAnsi="Arial"/>
                <w:b w:val="0"/>
                <w:sz w:val="22"/>
              </w:rPr>
              <w:t>Heat exchanger</w:t>
            </w:r>
          </w:p>
        </w:tc>
        <w:tc>
          <w:tcPr>
            <w:tcW w:type="dxa" w:w="2551"/>
          </w:tcPr>
          <w:p>
            <w:pPr>
              <w:spacing w:before="0" w:after="0"/>
              <w:jc w:val="left"/>
            </w:pPr>
            <w:r>
              <w:rPr>
                <w:rFonts w:ascii="Arial" w:hAnsi="Arial"/>
                <w:b w:val="0"/>
                <w:sz w:val="22"/>
              </w:rPr>
              <w:t>Visual and Dimensional Inspection Quality Control Packing control Provision of all Production Documentation S/N number Check Marking &amp; Packing Checks</w:t>
            </w:r>
          </w:p>
        </w:tc>
      </w:tr>
      <w:tr>
        <w:tc>
          <w:tcPr>
            <w:tcW w:type="dxa" w:w="2551"/>
          </w:tcPr>
          <w:p>
            <w:pPr>
              <w:spacing w:before="0" w:after="0"/>
              <w:jc w:val="left"/>
            </w:pPr>
            <w:r>
              <w:rPr>
                <w:rFonts w:ascii="Arial" w:hAnsi="Arial"/>
                <w:b w:val="0"/>
                <w:sz w:val="22"/>
              </w:rPr>
              <w:t>NIOC</w:t>
            </w:r>
          </w:p>
        </w:tc>
        <w:tc>
          <w:tcPr>
            <w:tcW w:type="dxa" w:w="2551"/>
          </w:tcPr>
          <w:p>
            <w:pPr>
              <w:spacing w:before="0" w:after="0"/>
              <w:jc w:val="left"/>
            </w:pPr>
            <w:r>
              <w:rPr>
                <w:rFonts w:ascii="Arial" w:hAnsi="Arial"/>
                <w:b w:val="0"/>
                <w:sz w:val="22"/>
              </w:rPr>
              <w:t>Mirab</w:t>
            </w:r>
          </w:p>
        </w:tc>
        <w:tc>
          <w:tcPr>
            <w:tcW w:type="dxa" w:w="2551"/>
          </w:tcPr>
          <w:p>
            <w:pPr>
              <w:spacing w:before="0" w:after="0"/>
              <w:jc w:val="left"/>
            </w:pPr>
            <w:r>
              <w:rPr>
                <w:rFonts w:ascii="Arial" w:hAnsi="Arial"/>
                <w:b w:val="0"/>
                <w:sz w:val="22"/>
              </w:rPr>
              <w:t>Butterfly Valve</w:t>
            </w:r>
          </w:p>
        </w:tc>
        <w:tc>
          <w:tcPr>
            <w:tcW w:type="dxa" w:w="2551"/>
          </w:tcPr>
          <w:p>
            <w:pPr>
              <w:spacing w:before="0" w:after="0"/>
              <w:jc w:val="left"/>
            </w:pPr>
            <w:r>
              <w:rPr>
                <w:rFonts w:ascii="Arial" w:hAnsi="Arial"/>
                <w:b w:val="0"/>
                <w:sz w:val="22"/>
              </w:rPr>
              <w:t>Visual and Dimensional Inspection Documentation Review Shell Test Seat Test</w:t>
            </w:r>
          </w:p>
        </w:tc>
      </w:tr>
      <w:tr>
        <w:tc>
          <w:tcPr>
            <w:tcW w:type="dxa" w:w="2551"/>
          </w:tcPr>
          <w:p>
            <w:pPr>
              <w:spacing w:before="0" w:after="0"/>
              <w:jc w:val="left"/>
            </w:pPr>
            <w:r>
              <w:rPr>
                <w:rFonts w:ascii="Arial" w:hAnsi="Arial"/>
                <w:b w:val="0"/>
                <w:sz w:val="22"/>
              </w:rPr>
              <w:t>NIJC</w:t>
            </w:r>
          </w:p>
        </w:tc>
        <w:tc>
          <w:tcPr>
            <w:tcW w:type="dxa" w:w="2551"/>
          </w:tcPr>
          <w:p>
            <w:pPr>
              <w:spacing w:before="0" w:after="0"/>
              <w:jc w:val="left"/>
            </w:pPr>
            <w:r>
              <w:rPr>
                <w:rFonts w:ascii="Arial" w:hAnsi="Arial"/>
                <w:b w:val="0"/>
                <w:sz w:val="22"/>
              </w:rPr>
              <w:t>havayar</w:t>
            </w:r>
          </w:p>
        </w:tc>
        <w:tc>
          <w:tcPr>
            <w:tcW w:type="dxa" w:w="2551"/>
          </w:tcPr>
          <w:p>
            <w:pPr>
              <w:spacing w:before="0" w:after="0"/>
              <w:jc w:val="left"/>
            </w:pPr>
            <w:r>
              <w:rPr>
                <w:rFonts w:ascii="Arial" w:hAnsi="Arial"/>
                <w:b w:val="0"/>
                <w:sz w:val="22"/>
              </w:rPr>
              <w:t>Compressor</w:t>
            </w:r>
          </w:p>
        </w:tc>
        <w:tc>
          <w:tcPr>
            <w:tcW w:type="dxa" w:w="2551"/>
          </w:tcPr>
          <w:p>
            <w:pPr>
              <w:spacing w:before="0" w:after="0"/>
              <w:jc w:val="left"/>
            </w:pPr>
            <w:r>
              <w:rPr>
                <w:rFonts w:ascii="Arial" w:hAnsi="Arial"/>
                <w:b w:val="0"/>
                <w:sz w:val="22"/>
              </w:rPr>
              <w:t>hydrostatic pressure test</w:t>
            </w:r>
          </w:p>
        </w:tc>
      </w:tr>
      <w:tr>
        <w:tc>
          <w:tcPr>
            <w:tcW w:type="dxa" w:w="2551"/>
          </w:tcPr>
          <w:p>
            <w:pPr>
              <w:spacing w:before="0" w:after="0"/>
              <w:jc w:val="left"/>
            </w:pPr>
            <w:r>
              <w:rPr>
                <w:rFonts w:ascii="Arial" w:hAnsi="Arial"/>
                <w:b w:val="0"/>
                <w:sz w:val="22"/>
              </w:rPr>
              <w:t>NIOC</w:t>
            </w:r>
          </w:p>
        </w:tc>
        <w:tc>
          <w:tcPr>
            <w:tcW w:type="dxa" w:w="2551"/>
          </w:tcPr>
          <w:p>
            <w:pPr>
              <w:spacing w:before="0" w:after="0"/>
              <w:jc w:val="left"/>
            </w:pPr>
            <w:r>
              <w:rPr>
                <w:rFonts w:ascii="Arial" w:hAnsi="Arial"/>
                <w:b w:val="0"/>
                <w:sz w:val="22"/>
              </w:rPr>
              <w:t>PetrosanateAdel</w:t>
            </w:r>
          </w:p>
        </w:tc>
        <w:tc>
          <w:tcPr>
            <w:tcW w:type="dxa" w:w="2551"/>
          </w:tcPr>
          <w:p>
            <w:pPr>
              <w:spacing w:before="0" w:after="0"/>
              <w:jc w:val="left"/>
            </w:pPr>
            <w:r>
              <w:rPr>
                <w:rFonts w:ascii="Arial" w:hAnsi="Arial"/>
                <w:b w:val="0"/>
                <w:sz w:val="22"/>
              </w:rPr>
              <w:t>Falange and Fittings</w:t>
            </w:r>
          </w:p>
        </w:tc>
        <w:tc>
          <w:tcPr>
            <w:tcW w:type="dxa" w:w="2551"/>
          </w:tcPr>
          <w:p>
            <w:pPr>
              <w:spacing w:before="0" w:after="0"/>
              <w:jc w:val="left"/>
            </w:pPr>
            <w:r>
              <w:rPr>
                <w:rFonts w:ascii="Arial" w:hAnsi="Arial"/>
                <w:b w:val="0"/>
                <w:sz w:val="22"/>
              </w:rPr>
              <w:t>Visual and Dimensional Inspection Documentation Review Positive Material Identification</w:t>
            </w:r>
          </w:p>
        </w:tc>
      </w:tr>
    </w:tbl>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QA/QC Inspection</w:t>
      </w:r>
    </w:p>
    <w:p>
      <w:pPr>
        <w:pStyle w:val="ListBullet"/>
        <w:spacing w:before="0" w:after="0"/>
        <w:ind w:left="720" w:hanging="360"/>
        <w:jc w:val="both"/>
      </w:pPr>
      <w:r>
        <w:rPr>
          <w:rFonts w:ascii="Arial" w:hAnsi="Arial"/>
          <w:b w:val="0"/>
          <w:sz w:val="22"/>
        </w:rPr>
        <w:t>Industrial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Non-Destructive Testing (VT, MT, PT)</w:t>
      </w:r>
    </w:p>
    <w:p>
      <w:pPr>
        <w:pStyle w:val="ListBullet"/>
        <w:spacing w:before="0" w:after="0"/>
        <w:ind w:left="720" w:hanging="360"/>
        <w:jc w:val="both"/>
      </w:pPr>
      <w:r>
        <w:rPr>
          <w:rFonts w:ascii="Arial" w:hAnsi="Arial"/>
          <w:b w:val="0"/>
          <w:sz w:val="22"/>
        </w:rPr>
        <w:t>Visual Inspection</w:t>
      </w:r>
    </w:p>
    <w:p>
      <w:pPr>
        <w:pStyle w:val="ListBullet"/>
        <w:spacing w:before="0" w:after="0"/>
        <w:ind w:left="720" w:hanging="360"/>
        <w:jc w:val="both"/>
      </w:pPr>
      <w:r>
        <w:rPr>
          <w:rFonts w:ascii="Arial" w:hAnsi="Arial"/>
          <w:b w:val="0"/>
          <w:sz w:val="22"/>
        </w:rPr>
        <w:t>Dimensional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Quality Documentation</w:t>
      </w:r>
    </w:p>
    <w:p>
      <w:pPr>
        <w:pStyle w:val="ListBullet"/>
        <w:spacing w:before="0" w:after="0"/>
        <w:ind w:left="720" w:hanging="360"/>
        <w:jc w:val="both"/>
      </w:pPr>
      <w:r>
        <w:rPr>
          <w:rFonts w:ascii="Arial" w:hAnsi="Arial"/>
          <w:b w:val="0"/>
          <w:sz w:val="22"/>
        </w:rPr>
        <w:t>NCR Management</w:t>
      </w:r>
    </w:p>
    <w:p>
      <w:pPr>
        <w:pStyle w:val="ListBullet"/>
        <w:spacing w:before="0" w:after="0"/>
        <w:ind w:left="720" w:hanging="360"/>
        <w:jc w:val="both"/>
      </w:pPr>
      <w:r>
        <w:rPr>
          <w:rFonts w:ascii="Arial" w:hAnsi="Arial"/>
          <w:b w:val="0"/>
          <w:sz w:val="22"/>
        </w:rPr>
        <w:t>Site Audits</w:t>
      </w:r>
    </w:p>
    <w:p>
      <w:pPr>
        <w:pStyle w:val="ListBullet"/>
        <w:spacing w:before="0" w:after="0"/>
        <w:ind w:left="720" w:hanging="360"/>
        <w:jc w:val="both"/>
      </w:pPr>
      <w:r>
        <w:rPr>
          <w:rFonts w:ascii="Arial" w:hAnsi="Arial"/>
          <w:b w:val="0"/>
          <w:sz w:val="22"/>
        </w:rPr>
        <w:t>CAPA Coordination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Material Traceability</w:t>
      </w:r>
    </w:p>
    <w:p>
      <w:pPr>
        <w:pStyle w:val="ListBullet"/>
        <w:spacing w:before="0" w:after="0"/>
        <w:ind w:left="720" w:hanging="360"/>
        <w:jc w:val="both"/>
      </w:pPr>
      <w:r>
        <w:rPr>
          <w:rFonts w:ascii="Arial" w:hAnsi="Arial"/>
          <w:b w:val="0"/>
          <w:sz w:val="22"/>
        </w:rPr>
        <w:t>Handover Documentation</w:t>
      </w:r>
    </w:p>
    <w:p>
      <w:pPr>
        <w:pStyle w:val="ListBullet"/>
        <w:spacing w:before="0" w:after="0"/>
        <w:ind w:left="720" w:hanging="360"/>
        <w:jc w:val="both"/>
      </w:pPr>
      <w:r>
        <w:rPr>
          <w:rFonts w:ascii="Arial" w:hAnsi="Arial"/>
          <w:b w:val="0"/>
          <w:sz w:val="22"/>
        </w:rPr>
        <w:t>EPC and Client Coordination</w:t>
      </w:r>
    </w:p>
    <w:p>
      <w:pPr>
        <w:pStyle w:val="ListBullet"/>
        <w:spacing w:before="0" w:after="0"/>
        <w:ind w:left="720" w:hanging="360"/>
        <w:jc w:val="both"/>
      </w:pPr>
      <w:r>
        <w:rPr>
          <w:rFonts w:ascii="Arial" w:hAnsi="Arial"/>
          <w:b w:val="0"/>
          <w:sz w:val="22"/>
        </w:rPr>
        <w:t>Project Monitoring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Agitators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Ball Valves</w:t>
      </w:r>
    </w:p>
    <w:p>
      <w:pPr>
        <w:pStyle w:val="ListBullet"/>
        <w:spacing w:before="0" w:after="0"/>
        <w:ind w:left="720" w:hanging="360"/>
        <w:jc w:val="both"/>
      </w:pPr>
      <w:r>
        <w:rPr>
          <w:rFonts w:ascii="Arial" w:hAnsi="Arial"/>
          <w:b w:val="0"/>
          <w:sz w:val="22"/>
        </w:rPr>
        <w:t>Control Valves</w:t>
      </w:r>
    </w:p>
    <w:p>
      <w:pPr>
        <w:pStyle w:val="ListBullet"/>
        <w:spacing w:before="0" w:after="0"/>
        <w:ind w:left="720" w:hanging="360"/>
        <w:jc w:val="both"/>
      </w:pPr>
      <w:r>
        <w:rPr>
          <w:rFonts w:ascii="Arial" w:hAnsi="Arial"/>
          <w:b w:val="0"/>
          <w:sz w:val="22"/>
        </w:rPr>
        <w:t>Butterfly Valves</w:t>
      </w:r>
    </w:p>
    <w:p>
      <w:pPr>
        <w:pStyle w:val="ListBullet"/>
        <w:spacing w:before="0" w:after="0"/>
        <w:ind w:left="720" w:hanging="360"/>
        <w:jc w:val="both"/>
      </w:pPr>
      <w:r>
        <w:rPr>
          <w:rFonts w:ascii="Arial" w:hAnsi="Arial"/>
          <w:b w:val="0"/>
          <w:sz w:val="22"/>
        </w:rPr>
        <w:t>Gate Valves</w:t>
      </w:r>
    </w:p>
    <w:p>
      <w:pPr>
        <w:pStyle w:val="ListBullet"/>
        <w:spacing w:before="0" w:after="0"/>
        <w:ind w:left="720" w:hanging="360"/>
        <w:jc w:val="both"/>
      </w:pPr>
      <w:r>
        <w:rPr>
          <w:rFonts w:ascii="Arial" w:hAnsi="Arial"/>
          <w:b w:val="0"/>
          <w:sz w:val="22"/>
        </w:rPr>
        <w:t>Globe Valves</w:t>
      </w:r>
    </w:p>
    <w:p>
      <w:pPr>
        <w:pStyle w:val="ListBullet"/>
        <w:spacing w:before="0" w:after="0"/>
        <w:ind w:left="720" w:hanging="360"/>
        <w:jc w:val="both"/>
      </w:pPr>
      <w:r>
        <w:rPr>
          <w:rFonts w:ascii="Arial" w:hAnsi="Arial"/>
          <w:b w:val="0"/>
          <w:sz w:val="22"/>
        </w:rPr>
        <w:t>Check Valves</w:t>
      </w:r>
    </w:p>
    <w:p>
      <w:pPr>
        <w:pStyle w:val="ListBullet"/>
        <w:spacing w:before="0" w:after="0"/>
        <w:ind w:left="720" w:hanging="360"/>
        <w:jc w:val="both"/>
      </w:pPr>
      <w:r>
        <w:rPr>
          <w:rFonts w:ascii="Arial" w:hAnsi="Arial"/>
          <w:b w:val="0"/>
          <w:sz w:val="22"/>
        </w:rPr>
        <w:t>Fittings &amp; Flanges</w:t>
      </w:r>
    </w:p>
    <w:p>
      <w:pPr>
        <w:pStyle w:val="ListBullet"/>
        <w:spacing w:before="0" w:after="0"/>
        <w:ind w:left="720" w:hanging="360"/>
        <w:jc w:val="both"/>
      </w:pPr>
      <w:r>
        <w:rPr>
          <w:rFonts w:ascii="Arial" w:hAnsi="Arial"/>
          <w:b w:val="0"/>
          <w:sz w:val="22"/>
        </w:rPr>
        <w:t>GRP Fittings &amp; Flanges</w:t>
      </w:r>
    </w:p>
    <w:p>
      <w:pPr>
        <w:pStyle w:val="ListBullet"/>
        <w:spacing w:before="0" w:after="0"/>
        <w:ind w:left="720" w:hanging="360"/>
        <w:jc w:val="both"/>
      </w:pPr>
      <w:r>
        <w:rPr>
          <w:rFonts w:ascii="Arial" w:hAnsi="Arial"/>
          <w:b w:val="0"/>
          <w:sz w:val="22"/>
        </w:rPr>
        <w:t>Towers</w:t>
      </w:r>
    </w:p>
    <w:p>
      <w:pPr>
        <w:pStyle w:val="ListBullet"/>
        <w:spacing w:before="0" w:after="0"/>
        <w:ind w:left="720" w:hanging="360"/>
        <w:jc w:val="both"/>
      </w:pPr>
      <w:r>
        <w:rPr>
          <w:rFonts w:ascii="Arial" w:hAnsi="Arial"/>
          <w:b w:val="0"/>
          <w:sz w:val="22"/>
        </w:rPr>
        <w:t>Vessels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Structural Equipment</w:t>
      </w:r>
    </w:p>
    <w:p>
      <w:pPr>
        <w:pStyle w:val="ListBullet"/>
        <w:spacing w:before="0" w:after="0"/>
        <w:ind w:left="720" w:hanging="360"/>
        <w:jc w:val="both"/>
      </w:pPr>
      <w:r>
        <w:rPr>
          <w:rFonts w:ascii="Arial" w:hAnsi="Arial"/>
          <w:b w:val="0"/>
          <w:sz w:val="22"/>
        </w:rPr>
        <w:t>Electrical Equipment</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