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VIJAY JILKAR</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Vijay Jilkar is an inspection and quality professional with 16 years of experience across welding, piping, structural, NDT, pressure-vessel, valve, tank, painting and coating inspection. He has conducted detailed inspections of carbon steel, stainless steel, alloy, duplex and super duplex components, skid packages, plant piping, valves, tanks and fabricated assemblies. His scope includes QA/QC coordination, WPS/PQR/WPQ review, NDT coordination, pressure and leak testing, coating verification, vendor surveillance and dimensional inspection. He prepares and reviews QAPs, ITPs, inspection reports, NCRs, release notes, final dossiers and MDRs. His work has supported major clients including ADNOC, ARAMCO, ONGC, HPCL, BPCL and L&amp;T, in accordance with international engineering codes and standards.</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Bachelor – Mechanical Engineering</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CSWIP 3.1 Welding Inspector</w:t>
      </w:r>
    </w:p>
    <w:p>
      <w:pPr>
        <w:pStyle w:val="ListBullet"/>
        <w:spacing w:before="0" w:after="0"/>
        <w:ind w:left="720" w:hanging="360"/>
        <w:jc w:val="both"/>
      </w:pPr>
      <w:r>
        <w:rPr>
          <w:rFonts w:ascii="Arial" w:hAnsi="Arial"/>
          <w:b w:val="0"/>
          <w:sz w:val="22"/>
        </w:rPr>
        <w:t>B GAS GR2</w:t>
      </w:r>
    </w:p>
    <w:p>
      <w:pPr>
        <w:pStyle w:val="ListBullet"/>
        <w:spacing w:before="0" w:after="0"/>
        <w:ind w:left="720" w:hanging="360"/>
        <w:jc w:val="both"/>
      </w:pPr>
      <w:r>
        <w:rPr>
          <w:rFonts w:ascii="Arial" w:hAnsi="Arial"/>
          <w:b w:val="0"/>
          <w:sz w:val="22"/>
        </w:rPr>
        <w:t>ASNT Level II – MT</w:t>
      </w:r>
    </w:p>
    <w:p>
      <w:pPr>
        <w:pStyle w:val="ListBullet"/>
        <w:spacing w:before="0" w:after="0"/>
        <w:ind w:left="720" w:hanging="360"/>
        <w:jc w:val="both"/>
      </w:pPr>
      <w:r>
        <w:rPr>
          <w:rFonts w:ascii="Arial" w:hAnsi="Arial"/>
          <w:b w:val="0"/>
          <w:sz w:val="22"/>
        </w:rPr>
        <w:t>Lean Six Sigma Yellow Belt</w:t>
      </w:r>
    </w:p>
    <w:p>
      <w:pPr>
        <w:pStyle w:val="ListBullet"/>
        <w:spacing w:before="0" w:after="0"/>
        <w:ind w:left="720" w:hanging="360"/>
        <w:jc w:val="both"/>
      </w:pPr>
      <w:r>
        <w:rPr>
          <w:rFonts w:ascii="Arial" w:hAnsi="Arial"/>
          <w:b w:val="0"/>
          <w:sz w:val="22"/>
        </w:rPr>
        <w:t>ASNT UT Level II</w:t>
      </w:r>
    </w:p>
    <w:p>
      <w:pPr>
        <w:pStyle w:val="ListBullet"/>
        <w:spacing w:before="0" w:after="0"/>
        <w:ind w:left="720" w:hanging="360"/>
        <w:jc w:val="both"/>
      </w:pPr>
      <w:r>
        <w:rPr>
          <w:rFonts w:ascii="Arial" w:hAnsi="Arial"/>
          <w:b w:val="0"/>
          <w:sz w:val="22"/>
        </w:rPr>
        <w:t>ASNT VT Level II</w:t>
      </w:r>
    </w:p>
    <w:p>
      <w:pPr>
        <w:pStyle w:val="ListBullet"/>
        <w:spacing w:before="0" w:after="0"/>
        <w:ind w:left="720" w:hanging="360"/>
        <w:jc w:val="both"/>
      </w:pPr>
      <w:r>
        <w:rPr>
          <w:rFonts w:ascii="Arial" w:hAnsi="Arial"/>
          <w:b w:val="0"/>
          <w:sz w:val="22"/>
        </w:rPr>
        <w:t>ASNT RT Level II</w:t>
      </w:r>
    </w:p>
    <w:p>
      <w:pPr>
        <w:pStyle w:val="ListBullet"/>
        <w:spacing w:before="0" w:after="0"/>
        <w:ind w:left="720" w:hanging="360"/>
        <w:jc w:val="both"/>
      </w:pPr>
      <w:r>
        <w:rPr>
          <w:rFonts w:ascii="Arial" w:hAnsi="Arial"/>
          <w:b w:val="0"/>
          <w:sz w:val="22"/>
        </w:rPr>
        <w:t>ASNT PT Level II</w:t>
      </w:r>
    </w:p>
    <w:p>
      <w:pPr>
        <w:spacing w:before="0" w:after="0"/>
      </w:pPr>
    </w:p>
    <w:p>
      <w:pPr>
        <w:spacing w:before="0" w:after="0"/>
        <w:jc w:val="left"/>
      </w:pPr>
      <w:r>
        <w:rPr>
          <w:rFonts w:ascii="Arial" w:hAnsi="Arial"/>
          <w:b/>
          <w:sz w:val="22"/>
        </w:rPr>
        <w:t>CODES AND STANDARDS</w:t>
      </w:r>
    </w:p>
    <w:p>
      <w:pPr>
        <w:pStyle w:val="ListBullet"/>
        <w:spacing w:before="0" w:after="0"/>
        <w:ind w:left="720" w:hanging="360"/>
        <w:jc w:val="both"/>
      </w:pPr>
      <w:r>
        <w:rPr>
          <w:rFonts w:ascii="Arial" w:hAnsi="Arial"/>
          <w:b w:val="0"/>
          <w:sz w:val="22"/>
        </w:rPr>
        <w:t>ASME Section II (A/B/C/D)</w:t>
      </w:r>
    </w:p>
    <w:p>
      <w:pPr>
        <w:pStyle w:val="ListBullet"/>
        <w:spacing w:before="0" w:after="0"/>
        <w:ind w:left="720" w:hanging="360"/>
        <w:jc w:val="both"/>
      </w:pPr>
      <w:r>
        <w:rPr>
          <w:rFonts w:ascii="Arial" w:hAnsi="Arial"/>
          <w:b w:val="0"/>
          <w:sz w:val="22"/>
        </w:rPr>
        <w:t>ASME Section V</w:t>
      </w:r>
    </w:p>
    <w:p>
      <w:pPr>
        <w:pStyle w:val="ListBullet"/>
        <w:spacing w:before="0" w:after="0"/>
        <w:ind w:left="720" w:hanging="360"/>
        <w:jc w:val="both"/>
      </w:pPr>
      <w:r>
        <w:rPr>
          <w:rFonts w:ascii="Arial" w:hAnsi="Arial"/>
          <w:b w:val="0"/>
          <w:sz w:val="22"/>
        </w:rPr>
        <w:t>ASME Section IX</w:t>
      </w:r>
    </w:p>
    <w:p>
      <w:pPr>
        <w:pStyle w:val="ListBullet"/>
        <w:spacing w:before="0" w:after="0"/>
        <w:ind w:left="720" w:hanging="360"/>
        <w:jc w:val="both"/>
      </w:pPr>
      <w:r>
        <w:rPr>
          <w:rFonts w:ascii="Arial" w:hAnsi="Arial"/>
          <w:b w:val="0"/>
          <w:sz w:val="22"/>
        </w:rPr>
        <w:t>ASME B16.5</w:t>
      </w:r>
    </w:p>
    <w:p>
      <w:pPr>
        <w:pStyle w:val="ListBullet"/>
        <w:spacing w:before="0" w:after="0"/>
        <w:ind w:left="720" w:hanging="360"/>
        <w:jc w:val="both"/>
      </w:pPr>
      <w:r>
        <w:rPr>
          <w:rFonts w:ascii="Arial" w:hAnsi="Arial"/>
          <w:b w:val="0"/>
          <w:sz w:val="22"/>
        </w:rPr>
        <w:t>ASME B31.3</w:t>
      </w:r>
    </w:p>
    <w:p>
      <w:pPr>
        <w:pStyle w:val="ListBullet"/>
        <w:spacing w:before="0" w:after="0"/>
        <w:ind w:left="720" w:hanging="360"/>
        <w:jc w:val="both"/>
      </w:pPr>
      <w:r>
        <w:rPr>
          <w:rFonts w:ascii="Arial" w:hAnsi="Arial"/>
          <w:b w:val="0"/>
          <w:sz w:val="22"/>
        </w:rPr>
        <w:t>AWS D1.1</w:t>
      </w:r>
    </w:p>
    <w:p>
      <w:pPr>
        <w:pStyle w:val="ListBullet"/>
        <w:spacing w:before="0" w:after="0"/>
        <w:ind w:left="720" w:hanging="360"/>
        <w:jc w:val="both"/>
      </w:pPr>
      <w:r>
        <w:rPr>
          <w:rFonts w:ascii="Arial" w:hAnsi="Arial"/>
          <w:b w:val="0"/>
          <w:sz w:val="22"/>
        </w:rPr>
        <w:t>API Standards</w:t>
      </w:r>
    </w:p>
    <w:p>
      <w:pPr>
        <w:pStyle w:val="ListBullet"/>
        <w:spacing w:before="0" w:after="0"/>
        <w:ind w:left="720" w:hanging="360"/>
        <w:jc w:val="both"/>
      </w:pPr>
      <w:r>
        <w:rPr>
          <w:rFonts w:ascii="Arial" w:hAnsi="Arial"/>
          <w:b w:val="0"/>
          <w:sz w:val="22"/>
        </w:rPr>
        <w:t>ISO Standards</w:t>
      </w:r>
    </w:p>
    <w:p>
      <w:pPr>
        <w:pStyle w:val="ListBullet"/>
        <w:spacing w:before="0" w:after="0"/>
        <w:ind w:left="720" w:hanging="360"/>
        <w:jc w:val="both"/>
      </w:pPr>
      <w:r>
        <w:rPr>
          <w:rFonts w:ascii="Arial" w:hAnsi="Arial"/>
          <w:b w:val="0"/>
          <w:sz w:val="22"/>
        </w:rPr>
        <w:t>IS/EN/ASTM Material &amp; Product Standards</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JUL 2026 – PRESENT</w:t>
      </w:r>
    </w:p>
    <w:p>
      <w:pPr>
        <w:spacing w:before="0" w:after="0"/>
        <w:jc w:val="left"/>
      </w:pPr>
      <w:r>
        <w:rPr>
          <w:rFonts w:ascii="Arial" w:hAnsi="Arial"/>
          <w:b/>
          <w:sz w:val="22"/>
        </w:rPr>
        <w:t>TPI AGENCY</w:t>
      </w:r>
    </w:p>
    <w:p>
      <w:pPr>
        <w:spacing w:before="0" w:after="0"/>
        <w:jc w:val="left"/>
      </w:pPr>
      <w:r>
        <w:rPr>
          <w:rFonts w:ascii="Arial" w:hAnsi="Arial"/>
          <w:b/>
          <w:sz w:val="22"/>
        </w:rPr>
        <w:t>INSPECTOR</w:t>
      </w:r>
    </w:p>
    <w:p>
      <w:pPr>
        <w:pStyle w:val="ListBullet"/>
        <w:spacing w:before="0" w:after="0"/>
        <w:ind w:left="720" w:hanging="360"/>
        <w:jc w:val="both"/>
      </w:pPr>
      <w:r>
        <w:rPr>
          <w:rFonts w:ascii="Arial" w:hAnsi="Arial"/>
          <w:b w:val="0"/>
          <w:sz w:val="22"/>
        </w:rPr>
        <w:t>Conducted pre-inspection meetings with clients and contractors and reviewed QAPs, ITPs and stage-wise checklists.</w:t>
      </w:r>
    </w:p>
    <w:p>
      <w:pPr>
        <w:pStyle w:val="ListBullet"/>
        <w:spacing w:before="0" w:after="0"/>
        <w:ind w:left="720" w:hanging="360"/>
        <w:jc w:val="both"/>
      </w:pPr>
      <w:r>
        <w:rPr>
          <w:rFonts w:ascii="Arial" w:hAnsi="Arial"/>
          <w:b w:val="0"/>
          <w:sz w:val="22"/>
        </w:rPr>
        <w:t>Reviewed and witnessed WPS, PQR and welder qualification activities and verified welding parameters, preheat/interpass temperature, weld sequence and distortion control.</w:t>
      </w:r>
    </w:p>
    <w:p>
      <w:pPr>
        <w:pStyle w:val="ListBullet"/>
        <w:spacing w:before="0" w:after="0"/>
        <w:ind w:left="720" w:hanging="360"/>
        <w:jc w:val="both"/>
      </w:pPr>
      <w:r>
        <w:rPr>
          <w:rFonts w:ascii="Arial" w:hAnsi="Arial"/>
          <w:b w:val="0"/>
          <w:sz w:val="22"/>
        </w:rPr>
        <w:t>Verified raw materials against ASME, ASTM, EN and IS requirements, witnessed mechanical and chemical testing, and issued 3.1/3.2 MTCs.</w:t>
      </w:r>
    </w:p>
    <w:p>
      <w:pPr>
        <w:pStyle w:val="ListBullet"/>
        <w:spacing w:before="0" w:after="0"/>
        <w:ind w:left="720" w:hanging="360"/>
        <w:jc w:val="both"/>
      </w:pPr>
      <w:r>
        <w:rPr>
          <w:rFonts w:ascii="Arial" w:hAnsi="Arial"/>
          <w:b w:val="0"/>
          <w:sz w:val="22"/>
        </w:rPr>
        <w:t>Performed pre-weld, in-process and final dimensional and visual inspections for piping, structural items, tanks, valves and fabricated components.</w:t>
      </w:r>
    </w:p>
    <w:p>
      <w:pPr>
        <w:pStyle w:val="ListBullet"/>
        <w:spacing w:before="0" w:after="0"/>
        <w:ind w:left="720" w:hanging="360"/>
        <w:jc w:val="both"/>
      </w:pPr>
      <w:r>
        <w:rPr>
          <w:rFonts w:ascii="Arial" w:hAnsi="Arial"/>
          <w:b w:val="0"/>
          <w:sz w:val="22"/>
        </w:rPr>
        <w:t>Witnessed and reviewed RT, UT, PT, MT and VT activities, interpreted radiography films and ensured compliance with ASME Section V and client requirements.</w:t>
      </w:r>
    </w:p>
    <w:p>
      <w:pPr>
        <w:pStyle w:val="ListBullet"/>
        <w:spacing w:before="0" w:after="0"/>
        <w:ind w:left="720" w:hanging="360"/>
        <w:jc w:val="both"/>
      </w:pPr>
      <w:r>
        <w:rPr>
          <w:rFonts w:ascii="Arial" w:hAnsi="Arial"/>
          <w:b w:val="0"/>
          <w:sz w:val="22"/>
        </w:rPr>
        <w:t>Prepared and witnessed hydrotest packages, pneumatic tests, leak tests and line walk-downs.</w:t>
      </w:r>
    </w:p>
    <w:p>
      <w:pPr>
        <w:pStyle w:val="ListBullet"/>
        <w:spacing w:before="0" w:after="0"/>
        <w:ind w:left="720" w:hanging="360"/>
        <w:jc w:val="both"/>
      </w:pPr>
      <w:r>
        <w:rPr>
          <w:rFonts w:ascii="Arial" w:hAnsi="Arial"/>
          <w:b w:val="0"/>
          <w:sz w:val="22"/>
        </w:rPr>
        <w:t>Witnessed vacuum box testing, holiday testing, plate fit-up, shell and bottom welding and coating inspection for CRVT and underground tanks.</w:t>
      </w:r>
    </w:p>
    <w:p>
      <w:pPr>
        <w:pStyle w:val="ListBullet"/>
        <w:spacing w:before="0" w:after="0"/>
        <w:ind w:left="720" w:hanging="360"/>
        <w:jc w:val="both"/>
      </w:pPr>
      <w:r>
        <w:rPr>
          <w:rFonts w:ascii="Arial" w:hAnsi="Arial"/>
          <w:b w:val="0"/>
          <w:sz w:val="22"/>
        </w:rPr>
        <w:t>Monitored coating inspection activities, including RH, dew point, substrate temperature, surface preparation, WFT/DFT, adhesion and holiday testing.</w:t>
      </w:r>
    </w:p>
    <w:p>
      <w:pPr>
        <w:pStyle w:val="ListBullet"/>
        <w:spacing w:before="0" w:after="0"/>
        <w:ind w:left="720" w:hanging="360"/>
        <w:jc w:val="both"/>
      </w:pPr>
      <w:r>
        <w:rPr>
          <w:rFonts w:ascii="Arial" w:hAnsi="Arial"/>
          <w:b w:val="0"/>
          <w:sz w:val="22"/>
        </w:rPr>
        <w:t>Inspected surface preparation for carbon steel, stainless steel, structural steel, piping spools, tanks and skids in accordance with SSPC, NACE and ISO 8501 requirements.</w:t>
      </w:r>
    </w:p>
    <w:p>
      <w:pPr>
        <w:pStyle w:val="ListBullet"/>
        <w:spacing w:before="0" w:after="0"/>
        <w:ind w:left="720" w:hanging="360"/>
        <w:jc w:val="both"/>
      </w:pPr>
      <w:r>
        <w:rPr>
          <w:rFonts w:ascii="Arial" w:hAnsi="Arial"/>
          <w:b w:val="0"/>
          <w:sz w:val="22"/>
        </w:rPr>
        <w:t>Verified surface cleanliness grades Sa 2, Sa 2.5, St 2 and St 3, surface profile, abrasive blasting quality and environmental conditions.</w:t>
      </w:r>
    </w:p>
    <w:p>
      <w:pPr>
        <w:pStyle w:val="ListBullet"/>
        <w:spacing w:before="0" w:after="0"/>
        <w:ind w:left="720" w:hanging="360"/>
        <w:jc w:val="both"/>
      </w:pPr>
      <w:r>
        <w:rPr>
          <w:rFonts w:ascii="Arial" w:hAnsi="Arial"/>
          <w:b w:val="0"/>
          <w:sz w:val="22"/>
        </w:rPr>
        <w:t>Reviewed coating materials, batch numbers, shelf life, mixing ratios, pot life, thinning requirements and compliance with manufacturer TDS.</w:t>
      </w:r>
    </w:p>
    <w:p>
      <w:pPr>
        <w:pStyle w:val="ListBullet"/>
        <w:spacing w:before="0" w:after="0"/>
        <w:ind w:left="720" w:hanging="360"/>
        <w:jc w:val="both"/>
      </w:pPr>
      <w:r>
        <w:rPr>
          <w:rFonts w:ascii="Arial" w:hAnsi="Arial"/>
          <w:b w:val="0"/>
          <w:sz w:val="22"/>
        </w:rPr>
        <w:t>Witnessed and recorded WFT and DFT measurements using Elcometer gauges in accordance with SSPC-PA2 and project specifications.</w:t>
      </w:r>
    </w:p>
    <w:p>
      <w:pPr>
        <w:pStyle w:val="ListBullet"/>
        <w:spacing w:before="0" w:after="0"/>
        <w:ind w:left="720" w:hanging="360"/>
        <w:jc w:val="both"/>
      </w:pPr>
      <w:r>
        <w:rPr>
          <w:rFonts w:ascii="Arial" w:hAnsi="Arial"/>
          <w:b w:val="0"/>
          <w:sz w:val="22"/>
        </w:rPr>
        <w:t>Performed holiday testing for internal linings, tanks and underground coatings using low-voltage and high-voltage spark testers.</w:t>
      </w:r>
    </w:p>
    <w:p>
      <w:pPr>
        <w:pStyle w:val="ListBullet"/>
        <w:spacing w:before="0" w:after="0"/>
        <w:ind w:left="720" w:hanging="360"/>
        <w:jc w:val="both"/>
      </w:pPr>
      <w:r>
        <w:rPr>
          <w:rFonts w:ascii="Arial" w:hAnsi="Arial"/>
          <w:b w:val="0"/>
          <w:sz w:val="22"/>
        </w:rPr>
        <w:t>Conducted cross-cut and pull-off adhesion testing in accordance with ASTM D3359 and ASTM D4541 and evaluated coating bonding strength.</w:t>
      </w:r>
    </w:p>
    <w:p>
      <w:pPr>
        <w:pStyle w:val="ListBullet"/>
        <w:spacing w:before="0" w:after="0"/>
        <w:ind w:left="720" w:hanging="360"/>
        <w:jc w:val="both"/>
      </w:pPr>
      <w:r>
        <w:rPr>
          <w:rFonts w:ascii="Arial" w:hAnsi="Arial"/>
          <w:b w:val="0"/>
          <w:sz w:val="22"/>
        </w:rPr>
        <w:t>Identified coating defects including pinholes, runs, sags, blistering, chalking, cracking, delamination and under-film corrosion and recommended corrective actions.</w:t>
      </w:r>
    </w:p>
    <w:p>
      <w:pPr>
        <w:pStyle w:val="ListBullet"/>
        <w:spacing w:before="0" w:after="0"/>
        <w:ind w:left="720" w:hanging="360"/>
        <w:jc w:val="both"/>
      </w:pPr>
      <w:r>
        <w:rPr>
          <w:rFonts w:ascii="Arial" w:hAnsi="Arial"/>
          <w:b w:val="0"/>
          <w:sz w:val="22"/>
        </w:rPr>
        <w:t>Monitored brush, roller and airless-spray application methods, including nozzle size, pressure, spray pattern and film build.</w:t>
      </w:r>
    </w:p>
    <w:p>
      <w:pPr>
        <w:pStyle w:val="ListBullet"/>
        <w:spacing w:before="0" w:after="0"/>
        <w:ind w:left="720" w:hanging="360"/>
        <w:jc w:val="both"/>
      </w:pPr>
      <w:r>
        <w:rPr>
          <w:rFonts w:ascii="Arial" w:hAnsi="Arial"/>
          <w:b w:val="0"/>
          <w:sz w:val="22"/>
        </w:rPr>
        <w:t>Inspected fireproofing and intumescent coatings for structural steel and verified thickness, curing and adhesion.</w:t>
      </w:r>
    </w:p>
    <w:p>
      <w:pPr>
        <w:pStyle w:val="ListBullet"/>
        <w:spacing w:before="0" w:after="0"/>
        <w:ind w:left="720" w:hanging="360"/>
        <w:jc w:val="both"/>
      </w:pPr>
      <w:r>
        <w:rPr>
          <w:rFonts w:ascii="Arial" w:hAnsi="Arial"/>
          <w:b w:val="0"/>
          <w:sz w:val="22"/>
        </w:rPr>
        <w:t>Witnessed internal coating and lining applications for tanks, potable-water systems and chemical-resistant coatings.</w:t>
      </w:r>
    </w:p>
    <w:p>
      <w:pPr>
        <w:pStyle w:val="ListBullet"/>
        <w:spacing w:before="0" w:after="0"/>
        <w:ind w:left="720" w:hanging="360"/>
        <w:jc w:val="both"/>
      </w:pPr>
      <w:r>
        <w:rPr>
          <w:rFonts w:ascii="Arial" w:hAnsi="Arial"/>
          <w:b w:val="0"/>
          <w:sz w:val="22"/>
        </w:rPr>
        <w:t>Verified repair and touch-up activities, including feathering, surface preparation and coating re-application.</w:t>
      </w:r>
    </w:p>
    <w:p>
      <w:pPr>
        <w:pStyle w:val="ListBullet"/>
        <w:spacing w:before="0" w:after="0"/>
        <w:ind w:left="720" w:hanging="360"/>
        <w:jc w:val="both"/>
      </w:pPr>
      <w:r>
        <w:rPr>
          <w:rFonts w:ascii="Arial" w:hAnsi="Arial"/>
          <w:b w:val="0"/>
          <w:sz w:val="22"/>
        </w:rPr>
        <w:t>Prepared daily paint inspection reports, DFT logs, batch records, environmental logs, NCRs, punch lists and final coating dossiers.</w:t>
      </w:r>
    </w:p>
    <w:p>
      <w:pPr>
        <w:pStyle w:val="ListBullet"/>
        <w:spacing w:before="0" w:after="0"/>
        <w:ind w:left="720" w:hanging="360"/>
        <w:jc w:val="both"/>
      </w:pPr>
      <w:r>
        <w:rPr>
          <w:rFonts w:ascii="Arial" w:hAnsi="Arial"/>
          <w:b w:val="0"/>
          <w:sz w:val="22"/>
        </w:rPr>
        <w:t>Witnessed and monitored welding activities for carbon steel, stainless steel, alloy steel, duplex and super duplex piping and structural components.</w:t>
      </w:r>
    </w:p>
    <w:p>
      <w:pPr>
        <w:pStyle w:val="ListBullet"/>
        <w:spacing w:before="0" w:after="0"/>
        <w:ind w:left="720" w:hanging="360"/>
        <w:jc w:val="both"/>
      </w:pPr>
      <w:r>
        <w:rPr>
          <w:rFonts w:ascii="Arial" w:hAnsi="Arial"/>
          <w:b w:val="0"/>
          <w:sz w:val="22"/>
        </w:rPr>
        <w:t>Verified WPS, PQR and WPQ compliance and monitored current, voltage, travel speed and heat input.</w:t>
      </w:r>
    </w:p>
    <w:p>
      <w:pPr>
        <w:pStyle w:val="ListBullet"/>
        <w:spacing w:before="0" w:after="0"/>
        <w:ind w:left="720" w:hanging="360"/>
        <w:jc w:val="both"/>
      </w:pPr>
      <w:r>
        <w:rPr>
          <w:rFonts w:ascii="Arial" w:hAnsi="Arial"/>
          <w:b w:val="0"/>
          <w:sz w:val="22"/>
        </w:rPr>
        <w:t>Conducted fit-up inspections covering bevel preparation, root gap, hi-lo, alignment, electrode selection and joint configuration.</w:t>
      </w:r>
    </w:p>
    <w:p>
      <w:pPr>
        <w:pStyle w:val="ListBullet"/>
        <w:spacing w:before="0" w:after="0"/>
        <w:ind w:left="720" w:hanging="360"/>
        <w:jc w:val="both"/>
      </w:pPr>
      <w:r>
        <w:rPr>
          <w:rFonts w:ascii="Arial" w:hAnsi="Arial"/>
          <w:b w:val="0"/>
          <w:sz w:val="22"/>
        </w:rPr>
        <w:t>Monitored SMAW, GTAW, FCAW and SAW processes and verified filler wire, electrode classification, shielding gas and preheat/interpass temperature control.</w:t>
      </w:r>
    </w:p>
    <w:p>
      <w:pPr>
        <w:pStyle w:val="ListBullet"/>
        <w:spacing w:before="0" w:after="0"/>
        <w:ind w:left="720" w:hanging="360"/>
        <w:jc w:val="both"/>
      </w:pPr>
      <w:r>
        <w:rPr>
          <w:rFonts w:ascii="Arial" w:hAnsi="Arial"/>
          <w:b w:val="0"/>
          <w:sz w:val="22"/>
        </w:rPr>
        <w:t>Reviewed welder qualification records and verified validity, qualified processes and welding positions.</w:t>
      </w:r>
    </w:p>
    <w:p>
      <w:pPr>
        <w:pStyle w:val="ListBullet"/>
        <w:spacing w:before="0" w:after="0"/>
        <w:ind w:left="720" w:hanging="360"/>
        <w:jc w:val="both"/>
      </w:pPr>
      <w:r>
        <w:rPr>
          <w:rFonts w:ascii="Arial" w:hAnsi="Arial"/>
          <w:b w:val="0"/>
          <w:sz w:val="22"/>
        </w:rPr>
        <w:t>Performed visual inspection of root, hot pass, fill and cap welds and identified undercut, porosity, slag inclusion, lack of fusion, incomplete penetration and cracks.</w:t>
      </w:r>
    </w:p>
    <w:p>
      <w:pPr>
        <w:pStyle w:val="ListBullet"/>
        <w:spacing w:before="0" w:after="0"/>
        <w:ind w:left="720" w:hanging="360"/>
        <w:jc w:val="both"/>
      </w:pPr>
      <w:r>
        <w:rPr>
          <w:rFonts w:ascii="Arial" w:hAnsi="Arial"/>
          <w:b w:val="0"/>
          <w:sz w:val="22"/>
        </w:rPr>
        <w:t>Coordinated RT, UT, MT, PT and PAUT activities and reviewed reports against ASME Section V and project acceptance criteria.</w:t>
      </w:r>
    </w:p>
    <w:p>
      <w:pPr>
        <w:pStyle w:val="ListBullet"/>
        <w:spacing w:before="0" w:after="0"/>
        <w:ind w:left="720" w:hanging="360"/>
        <w:jc w:val="both"/>
      </w:pPr>
      <w:r>
        <w:rPr>
          <w:rFonts w:ascii="Arial" w:hAnsi="Arial"/>
          <w:b w:val="0"/>
          <w:sz w:val="22"/>
        </w:rPr>
        <w:t>Witnessed weld repairs, monitored gouging and grinding, verified approved repair procedures and reviewed re-inspection results.</w:t>
      </w:r>
    </w:p>
    <w:p>
      <w:pPr>
        <w:pStyle w:val="ListBullet"/>
        <w:spacing w:before="0" w:after="0"/>
        <w:ind w:left="720" w:hanging="360"/>
        <w:jc w:val="both"/>
      </w:pPr>
      <w:r>
        <w:rPr>
          <w:rFonts w:ascii="Arial" w:hAnsi="Arial"/>
          <w:b w:val="0"/>
          <w:sz w:val="22"/>
        </w:rPr>
        <w:t>Controlled electrode and filler-wire storage, baking, issuance, batch traceability and expiry verification.</w:t>
      </w:r>
    </w:p>
    <w:p>
      <w:pPr>
        <w:pStyle w:val="ListBullet"/>
        <w:spacing w:before="0" w:after="0"/>
        <w:ind w:left="720" w:hanging="360"/>
        <w:jc w:val="both"/>
      </w:pPr>
      <w:r>
        <w:rPr>
          <w:rFonts w:ascii="Arial" w:hAnsi="Arial"/>
          <w:b w:val="0"/>
          <w:sz w:val="22"/>
        </w:rPr>
        <w:t>Prepared weld maps, weld logs and repair logs and contributed to NDT summary sheets, QA/QC documentation and MDR compilation.</w:t>
      </w:r>
    </w:p>
    <w:p>
      <w:pPr>
        <w:pStyle w:val="ListBullet"/>
        <w:spacing w:before="0" w:after="0"/>
        <w:ind w:left="720" w:hanging="360"/>
        <w:jc w:val="both"/>
      </w:pPr>
      <w:r>
        <w:rPr>
          <w:rFonts w:ascii="Arial" w:hAnsi="Arial"/>
          <w:b w:val="0"/>
          <w:sz w:val="22"/>
        </w:rPr>
        <w:t>Conducted welding inspection for pressure vessels, skids, piping systems, structural steel and critical joints in high-pressure/high-temperature service.</w:t>
      </w:r>
    </w:p>
    <w:p>
      <w:pPr>
        <w:pStyle w:val="ListBullet"/>
        <w:spacing w:before="0" w:after="0"/>
        <w:ind w:left="720" w:hanging="360"/>
        <w:jc w:val="both"/>
      </w:pPr>
      <w:r>
        <w:rPr>
          <w:rFonts w:ascii="Arial" w:hAnsi="Arial"/>
          <w:b w:val="0"/>
          <w:sz w:val="22"/>
        </w:rPr>
        <w:t>Coordinated with client, vendor and QA/QC teams for FAT/SAT, technical clarifications and closure of welding-related NCRs and punch items.</w:t>
      </w:r>
    </w:p>
    <w:p>
      <w:pPr>
        <w:pStyle w:val="ListBullet"/>
        <w:spacing w:before="0" w:after="0"/>
        <w:ind w:left="720" w:hanging="360"/>
        <w:jc w:val="both"/>
      </w:pPr>
      <w:r>
        <w:rPr>
          <w:rFonts w:ascii="Arial" w:hAnsi="Arial"/>
          <w:b w:val="0"/>
          <w:sz w:val="22"/>
        </w:rPr>
        <w:t>Conducted internal and external inspection of pressure-retaining valves associated with pressure vessels, including gate, globe, check, ball, butterfly, plug, control and safety relief valves.</w:t>
      </w:r>
    </w:p>
    <w:p>
      <w:pPr>
        <w:pStyle w:val="ListBullet"/>
        <w:spacing w:before="0" w:after="0"/>
        <w:ind w:left="720" w:hanging="360"/>
        <w:jc w:val="both"/>
      </w:pPr>
      <w:r>
        <w:rPr>
          <w:rFonts w:ascii="Arial" w:hAnsi="Arial"/>
          <w:b w:val="0"/>
          <w:sz w:val="22"/>
        </w:rPr>
        <w:t>Performed dimensional checks, body and bonnet integrity verification, seat and trim condition assessment, stem alignment checks and leak evaluation in accordance with API 510, API 598, API 6D and ASME B16.34.</w:t>
      </w:r>
    </w:p>
    <w:p>
      <w:pPr>
        <w:pStyle w:val="ListBullet"/>
        <w:spacing w:before="0" w:after="0"/>
        <w:ind w:left="720" w:hanging="360"/>
        <w:jc w:val="both"/>
      </w:pPr>
      <w:r>
        <w:rPr>
          <w:rFonts w:ascii="Arial" w:hAnsi="Arial"/>
          <w:b w:val="0"/>
          <w:sz w:val="22"/>
        </w:rPr>
        <w:t>Inspected valves installed in piping systems, including in-service condition monitoring, corrosion evaluation, wall-thickness verification, flange alignment, gasket suitability, bolt torque and leak testing.</w:t>
      </w:r>
    </w:p>
    <w:p>
      <w:pPr>
        <w:pStyle w:val="ListBullet"/>
        <w:spacing w:before="0" w:after="0"/>
        <w:ind w:left="720" w:hanging="360"/>
        <w:jc w:val="both"/>
      </w:pPr>
      <w:r>
        <w:rPr>
          <w:rFonts w:ascii="Arial" w:hAnsi="Arial"/>
          <w:b w:val="0"/>
          <w:sz w:val="22"/>
        </w:rPr>
        <w:t>Witnessed hydrostatic, pneumatic, seat-leakage, functional and torque testing for manual and actuated valves and verified compliance with OEM procedures, ITPs and client acceptance criteria.</w:t>
      </w:r>
    </w:p>
    <w:p>
      <w:pPr>
        <w:pStyle w:val="ListBullet"/>
        <w:spacing w:before="0" w:after="0"/>
        <w:ind w:left="720" w:hanging="360"/>
        <w:jc w:val="both"/>
      </w:pPr>
      <w:r>
        <w:rPr>
          <w:rFonts w:ascii="Arial" w:hAnsi="Arial"/>
          <w:b w:val="0"/>
          <w:sz w:val="22"/>
        </w:rPr>
        <w:t>Coordinated and witnessed FATs for MOVs, ROVs and control valves, including actuator calibration, stroke testing, fail-safe verification, limit-switch setting and signal-response checks.</w:t>
      </w:r>
    </w:p>
    <w:p>
      <w:pPr>
        <w:pStyle w:val="ListBullet"/>
        <w:spacing w:before="0" w:after="0"/>
        <w:ind w:left="720" w:hanging="360"/>
        <w:jc w:val="both"/>
      </w:pPr>
      <w:r>
        <w:rPr>
          <w:rFonts w:ascii="Arial" w:hAnsi="Arial"/>
          <w:b w:val="0"/>
          <w:sz w:val="22"/>
        </w:rPr>
        <w:t>Conducted in-service valve assessments, identified deterioration, corrosion, leakage, improper orientation, vibration impact and operational abnormalities, and prepared inspection reports, punch lists and repair recommendations.</w:t>
      </w:r>
    </w:p>
    <w:p>
      <w:pPr>
        <w:pStyle w:val="ListBullet"/>
        <w:spacing w:before="0" w:after="0"/>
        <w:ind w:left="720" w:hanging="360"/>
        <w:jc w:val="both"/>
      </w:pPr>
      <w:r>
        <w:rPr>
          <w:rFonts w:ascii="Arial" w:hAnsi="Arial"/>
          <w:b w:val="0"/>
          <w:sz w:val="22"/>
        </w:rPr>
        <w:t>Reviewed MTCs, calibration certificates, pressure-test reports, repair records and valve traceability documents for compliance with API 510/570, project specifications and client QA/QC procedures.</w:t>
      </w:r>
    </w:p>
    <w:p>
      <w:pPr>
        <w:pStyle w:val="ListBullet"/>
        <w:spacing w:before="0" w:after="0"/>
        <w:ind w:left="720" w:hanging="360"/>
        <w:jc w:val="both"/>
      </w:pPr>
      <w:r>
        <w:rPr>
          <w:rFonts w:ascii="Arial" w:hAnsi="Arial"/>
          <w:b w:val="0"/>
          <w:sz w:val="22"/>
        </w:rPr>
        <w:t>Performed detailed inspection of skid base-frame fabrication, including dimensional verification, alignment, leveling and structural-integrity checks.</w:t>
      </w:r>
    </w:p>
    <w:p>
      <w:pPr>
        <w:pStyle w:val="ListBullet"/>
        <w:spacing w:before="0" w:after="0"/>
        <w:ind w:left="720" w:hanging="360"/>
        <w:jc w:val="both"/>
      </w:pPr>
      <w:r>
        <w:rPr>
          <w:rFonts w:ascii="Arial" w:hAnsi="Arial"/>
          <w:b w:val="0"/>
          <w:sz w:val="22"/>
        </w:rPr>
        <w:t>Verified compliance with approved fabrication drawings, WPS/PQR and project specifications.</w:t>
      </w:r>
    </w:p>
    <w:p>
      <w:pPr>
        <w:pStyle w:val="ListBullet"/>
        <w:spacing w:before="0" w:after="0"/>
        <w:ind w:left="720" w:hanging="360"/>
        <w:jc w:val="both"/>
      </w:pPr>
      <w:r>
        <w:rPr>
          <w:rFonts w:ascii="Arial" w:hAnsi="Arial"/>
          <w:b w:val="0"/>
          <w:sz w:val="22"/>
        </w:rPr>
        <w:t>Verified weld quality, joint preparation, fit-up and structural-member installation in accordance with ASME and AWS standards.</w:t>
      </w:r>
    </w:p>
    <w:p>
      <w:pPr>
        <w:pStyle w:val="ListBullet"/>
        <w:spacing w:before="0" w:after="0"/>
        <w:ind w:left="720" w:hanging="360"/>
        <w:jc w:val="both"/>
      </w:pPr>
      <w:r>
        <w:rPr>
          <w:rFonts w:ascii="Arial" w:hAnsi="Arial"/>
          <w:b w:val="0"/>
          <w:sz w:val="22"/>
        </w:rPr>
        <w:t>Confirmed installation of supports, brackets, vibration pads and equipment mounting points.</w:t>
      </w:r>
    </w:p>
    <w:p>
      <w:pPr>
        <w:pStyle w:val="ListBullet"/>
        <w:spacing w:before="0" w:after="0"/>
        <w:ind w:left="720" w:hanging="360"/>
        <w:jc w:val="both"/>
      </w:pPr>
      <w:r>
        <w:rPr>
          <w:rFonts w:ascii="Arial" w:hAnsi="Arial"/>
          <w:b w:val="0"/>
          <w:sz w:val="22"/>
        </w:rPr>
        <w:t>Inspected carbon steel, stainless steel, GRE/GRP, HDPE and alloy piping associated with skid packages and plant systems.</w:t>
      </w:r>
    </w:p>
    <w:p>
      <w:pPr>
        <w:pStyle w:val="ListBullet"/>
        <w:spacing w:before="0" w:after="0"/>
        <w:ind w:left="720" w:hanging="360"/>
        <w:jc w:val="both"/>
      </w:pPr>
      <w:r>
        <w:rPr>
          <w:rFonts w:ascii="Arial" w:hAnsi="Arial"/>
          <w:b w:val="0"/>
          <w:sz w:val="22"/>
        </w:rPr>
        <w:t>Performed fit-up, root-pass and multi-pass welding inspection and verified consumable control.</w:t>
      </w:r>
    </w:p>
    <w:p>
      <w:pPr>
        <w:pStyle w:val="ListBullet"/>
        <w:spacing w:before="0" w:after="0"/>
        <w:ind w:left="720" w:hanging="360"/>
        <w:jc w:val="both"/>
      </w:pPr>
      <w:r>
        <w:rPr>
          <w:rFonts w:ascii="Arial" w:hAnsi="Arial"/>
          <w:b w:val="0"/>
          <w:sz w:val="22"/>
        </w:rPr>
        <w:t>Witnessed and reviewed RT, UT, MT and PT for piping welds and pressure parts.</w:t>
      </w:r>
    </w:p>
    <w:p>
      <w:pPr>
        <w:pStyle w:val="ListBullet"/>
        <w:spacing w:before="0" w:after="0"/>
        <w:ind w:left="720" w:hanging="360"/>
        <w:jc w:val="both"/>
      </w:pPr>
      <w:r>
        <w:rPr>
          <w:rFonts w:ascii="Arial" w:hAnsi="Arial"/>
          <w:b w:val="0"/>
          <w:sz w:val="22"/>
        </w:rPr>
        <w:t>Verified installation of valves, flanges, gaskets, supports and clamps and checked pipe routing within skid boundaries.</w:t>
      </w:r>
    </w:p>
    <w:p>
      <w:pPr>
        <w:pStyle w:val="ListBullet"/>
        <w:spacing w:before="0" w:after="0"/>
        <w:ind w:left="720" w:hanging="360"/>
        <w:jc w:val="both"/>
      </w:pPr>
      <w:r>
        <w:rPr>
          <w:rFonts w:ascii="Arial" w:hAnsi="Arial"/>
          <w:b w:val="0"/>
          <w:sz w:val="22"/>
        </w:rPr>
        <w:t>Witnessed hydrostatic, pneumatic, functional and leak testing, including test-pack review and pressure monitoring.</w:t>
      </w:r>
    </w:p>
    <w:p>
      <w:pPr>
        <w:pStyle w:val="ListBullet"/>
        <w:spacing w:before="0" w:after="0"/>
        <w:ind w:left="720" w:hanging="360"/>
        <w:jc w:val="both"/>
      </w:pPr>
      <w:r>
        <w:rPr>
          <w:rFonts w:ascii="Arial" w:hAnsi="Arial"/>
          <w:b w:val="0"/>
          <w:sz w:val="22"/>
        </w:rPr>
        <w:t>Performed incoming material inspection for plates, beams, channels, pipes, fittings, valves, fasteners, gaskets, instruments and structural items.</w:t>
      </w:r>
    </w:p>
    <w:p>
      <w:pPr>
        <w:pStyle w:val="ListBullet"/>
        <w:spacing w:before="0" w:after="0"/>
        <w:ind w:left="720" w:hanging="360"/>
        <w:jc w:val="both"/>
      </w:pPr>
      <w:r>
        <w:rPr>
          <w:rFonts w:ascii="Arial" w:hAnsi="Arial"/>
          <w:b w:val="0"/>
          <w:sz w:val="22"/>
        </w:rPr>
        <w:t>Verified MTCs, heat numbers, traceability, dimensional checks and compliance with project specifications.</w:t>
      </w:r>
    </w:p>
    <w:p>
      <w:pPr>
        <w:pStyle w:val="ListBullet"/>
        <w:spacing w:before="0" w:after="0"/>
        <w:ind w:left="720" w:hanging="360"/>
        <w:jc w:val="both"/>
      </w:pPr>
      <w:r>
        <w:rPr>
          <w:rFonts w:ascii="Arial" w:hAnsi="Arial"/>
          <w:b w:val="0"/>
          <w:sz w:val="22"/>
        </w:rPr>
        <w:t>Verified storage, handling, preservation and identification of materials at vendor facilities.</w:t>
      </w:r>
    </w:p>
    <w:p>
      <w:pPr>
        <w:pStyle w:val="ListBullet"/>
        <w:spacing w:before="0" w:after="0"/>
        <w:ind w:left="720" w:hanging="360"/>
        <w:jc w:val="both"/>
      </w:pPr>
      <w:r>
        <w:rPr>
          <w:rFonts w:ascii="Arial" w:hAnsi="Arial"/>
          <w:b w:val="0"/>
          <w:sz w:val="22"/>
        </w:rPr>
        <w:t>Confirmed calibration validity of instruments, gauges and testing equipment used during fabrication and FAT.</w:t>
      </w:r>
    </w:p>
    <w:p>
      <w:pPr>
        <w:spacing w:before="0" w:after="0"/>
      </w:pPr>
    </w:p>
    <w:p>
      <w:pPr>
        <w:spacing w:before="0" w:after="0"/>
        <w:jc w:val="left"/>
      </w:pPr>
      <w:r>
        <w:rPr>
          <w:rFonts w:ascii="Arial" w:hAnsi="Arial"/>
          <w:b/>
          <w:sz w:val="22"/>
        </w:rPr>
        <w:t>SEP 2025 – JUN 2026</w:t>
      </w:r>
    </w:p>
    <w:p>
      <w:pPr>
        <w:spacing w:before="0" w:after="0"/>
        <w:jc w:val="left"/>
      </w:pPr>
      <w:r>
        <w:rPr>
          <w:rFonts w:ascii="Arial" w:hAnsi="Arial"/>
          <w:b/>
          <w:sz w:val="22"/>
        </w:rPr>
        <w:t>TPI AGENCY</w:t>
      </w:r>
    </w:p>
    <w:p>
      <w:pPr>
        <w:spacing w:before="0" w:after="0"/>
        <w:jc w:val="left"/>
      </w:pPr>
      <w:r>
        <w:rPr>
          <w:rFonts w:ascii="Arial" w:hAnsi="Arial"/>
          <w:b/>
          <w:sz w:val="22"/>
        </w:rPr>
        <w:t>WELDING INSPECTOR</w:t>
      </w:r>
    </w:p>
    <w:p>
      <w:pPr>
        <w:spacing w:before="0" w:after="0"/>
      </w:pPr>
    </w:p>
    <w:p>
      <w:pPr>
        <w:spacing w:before="0" w:after="0"/>
        <w:jc w:val="left"/>
      </w:pPr>
      <w:r>
        <w:rPr>
          <w:rFonts w:ascii="Arial" w:hAnsi="Arial"/>
          <w:b/>
          <w:sz w:val="22"/>
        </w:rPr>
        <w:t>FEB 2025 – AUG 2025</w:t>
      </w:r>
    </w:p>
    <w:p>
      <w:pPr>
        <w:spacing w:before="0" w:after="0"/>
        <w:jc w:val="left"/>
      </w:pPr>
      <w:r>
        <w:rPr>
          <w:rFonts w:ascii="Arial" w:hAnsi="Arial"/>
          <w:b/>
          <w:sz w:val="22"/>
        </w:rPr>
        <w:t>TPI AGENCY</w:t>
      </w:r>
    </w:p>
    <w:p>
      <w:pPr>
        <w:spacing w:before="0" w:after="0"/>
        <w:jc w:val="left"/>
      </w:pPr>
      <w:r>
        <w:rPr>
          <w:rFonts w:ascii="Arial" w:hAnsi="Arial"/>
          <w:b/>
          <w:sz w:val="22"/>
        </w:rPr>
        <w:t>SURVEYOR</w:t>
      </w:r>
    </w:p>
    <w:p>
      <w:pPr>
        <w:spacing w:before="0" w:after="0"/>
      </w:pPr>
    </w:p>
    <w:p>
      <w:pPr>
        <w:spacing w:before="0" w:after="0"/>
        <w:jc w:val="left"/>
      </w:pPr>
      <w:r>
        <w:rPr>
          <w:rFonts w:ascii="Arial" w:hAnsi="Arial"/>
          <w:b/>
          <w:sz w:val="22"/>
        </w:rPr>
        <w:t>OCT 2015 – FEB 2025</w:t>
      </w:r>
    </w:p>
    <w:p>
      <w:pPr>
        <w:spacing w:before="0" w:after="0"/>
        <w:jc w:val="left"/>
      </w:pPr>
      <w:r>
        <w:rPr>
          <w:rFonts w:ascii="Arial" w:hAnsi="Arial"/>
          <w:b/>
          <w:sz w:val="22"/>
        </w:rPr>
        <w:t>TPI AGENCY</w:t>
      </w:r>
    </w:p>
    <w:p>
      <w:pPr>
        <w:spacing w:before="0" w:after="0"/>
        <w:jc w:val="left"/>
      </w:pPr>
      <w:r>
        <w:rPr>
          <w:rFonts w:ascii="Arial" w:hAnsi="Arial"/>
          <w:b/>
          <w:sz w:val="22"/>
        </w:rPr>
        <w:t>SENIOR INSPECTION ENGINEER</w:t>
      </w:r>
    </w:p>
    <w:p>
      <w:pPr>
        <w:spacing w:before="0" w:after="0"/>
      </w:pPr>
    </w:p>
    <w:p>
      <w:pPr>
        <w:spacing w:before="0" w:after="0"/>
        <w:jc w:val="left"/>
      </w:pPr>
      <w:r>
        <w:rPr>
          <w:rFonts w:ascii="Arial" w:hAnsi="Arial"/>
          <w:b/>
          <w:sz w:val="22"/>
        </w:rPr>
        <w:t>NOV 2012 – SEP 2015</w:t>
      </w:r>
    </w:p>
    <w:p>
      <w:pPr>
        <w:spacing w:before="0" w:after="0"/>
        <w:jc w:val="left"/>
      </w:pPr>
      <w:r>
        <w:rPr>
          <w:rFonts w:ascii="Arial" w:hAnsi="Arial"/>
          <w:b/>
          <w:sz w:val="22"/>
        </w:rPr>
        <w:t>SATHYAM STEEL ROOF STRUCTURAL LTD</w:t>
      </w:r>
    </w:p>
    <w:p>
      <w:pPr>
        <w:spacing w:before="0" w:after="0"/>
        <w:jc w:val="left"/>
      </w:pPr>
      <w:r>
        <w:rPr>
          <w:rFonts w:ascii="Arial" w:hAnsi="Arial"/>
          <w:b/>
          <w:sz w:val="22"/>
        </w:rPr>
        <w:t>QC ENGINEER</w:t>
      </w:r>
    </w:p>
    <w:p>
      <w:pPr>
        <w:spacing w:before="0" w:after="0"/>
      </w:pPr>
    </w:p>
    <w:p>
      <w:pPr>
        <w:spacing w:before="0" w:after="0"/>
        <w:jc w:val="left"/>
      </w:pPr>
      <w:r>
        <w:rPr>
          <w:rFonts w:ascii="Arial" w:hAnsi="Arial"/>
          <w:b/>
          <w:sz w:val="22"/>
        </w:rPr>
        <w:t>MAR 2010 – JUN 2012</w:t>
      </w:r>
    </w:p>
    <w:p>
      <w:pPr>
        <w:spacing w:before="0" w:after="0"/>
        <w:jc w:val="left"/>
      </w:pPr>
      <w:r>
        <w:rPr>
          <w:rFonts w:ascii="Arial" w:hAnsi="Arial"/>
          <w:b/>
          <w:sz w:val="22"/>
        </w:rPr>
        <w:t>TPI AGENCY</w:t>
      </w:r>
    </w:p>
    <w:p>
      <w:pPr>
        <w:spacing w:before="0" w:after="0"/>
        <w:jc w:val="left"/>
      </w:pPr>
      <w:r>
        <w:rPr>
          <w:rFonts w:ascii="Arial" w:hAnsi="Arial"/>
          <w:b/>
          <w:sz w:val="22"/>
        </w:rPr>
        <w:t>QC ENGINEER</w:t>
      </w:r>
    </w:p>
    <w:p>
      <w:pPr>
        <w:spacing w:before="0" w:after="0"/>
      </w:pPr>
    </w:p>
    <w:p>
      <w:pPr>
        <w:spacing w:before="0" w:after="0"/>
        <w:jc w:val="left"/>
      </w:pPr>
      <w:r>
        <w:rPr>
          <w:rFonts w:ascii="Arial" w:hAnsi="Arial"/>
          <w:b/>
          <w:sz w:val="22"/>
        </w:rPr>
        <w:t>LANGUAGES</w:t>
      </w:r>
    </w:p>
    <w:p>
      <w:pPr>
        <w:pStyle w:val="ListBullet"/>
        <w:spacing w:before="0" w:after="0"/>
        <w:ind w:left="720" w:hanging="360"/>
        <w:jc w:val="both"/>
      </w:pPr>
      <w:r>
        <w:rPr>
          <w:rFonts w:ascii="Arial" w:hAnsi="Arial"/>
          <w:b w:val="0"/>
          <w:sz w:val="22"/>
        </w:rPr>
        <w:t>English</w:t>
      </w:r>
    </w:p>
    <w:p>
      <w:pPr>
        <w:pStyle w:val="ListBullet"/>
        <w:spacing w:before="0" w:after="0"/>
        <w:ind w:left="720" w:hanging="360"/>
        <w:jc w:val="both"/>
      </w:pPr>
      <w:r>
        <w:rPr>
          <w:rFonts w:ascii="Arial" w:hAnsi="Arial"/>
          <w:b w:val="0"/>
          <w:sz w:val="22"/>
        </w:rPr>
        <w:t>Tamil</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QA/QC Coordination</w:t>
      </w:r>
    </w:p>
    <w:p>
      <w:pPr>
        <w:pStyle w:val="ListBullet"/>
        <w:spacing w:before="0" w:after="0"/>
        <w:ind w:left="720" w:hanging="360"/>
        <w:jc w:val="both"/>
      </w:pPr>
      <w:r>
        <w:rPr>
          <w:rFonts w:ascii="Arial" w:hAnsi="Arial"/>
          <w:b w:val="0"/>
          <w:sz w:val="22"/>
        </w:rPr>
        <w:t>Welding Inspection</w:t>
      </w:r>
    </w:p>
    <w:p>
      <w:pPr>
        <w:pStyle w:val="ListBullet"/>
        <w:spacing w:before="0" w:after="0"/>
        <w:ind w:left="720" w:hanging="360"/>
        <w:jc w:val="both"/>
      </w:pPr>
      <w:r>
        <w:rPr>
          <w:rFonts w:ascii="Arial" w:hAnsi="Arial"/>
          <w:b w:val="0"/>
          <w:sz w:val="22"/>
        </w:rPr>
        <w:t>WPS/PQR &amp; Welder Qualification</w:t>
      </w:r>
    </w:p>
    <w:p>
      <w:pPr>
        <w:pStyle w:val="ListBullet"/>
        <w:spacing w:before="0" w:after="0"/>
        <w:ind w:left="720" w:hanging="360"/>
        <w:jc w:val="both"/>
      </w:pPr>
      <w:r>
        <w:rPr>
          <w:rFonts w:ascii="Arial" w:hAnsi="Arial"/>
          <w:b w:val="0"/>
          <w:sz w:val="22"/>
        </w:rPr>
        <w:t>Piping Inspection</w:t>
      </w:r>
    </w:p>
    <w:p>
      <w:pPr>
        <w:pStyle w:val="ListBullet"/>
        <w:spacing w:before="0" w:after="0"/>
        <w:ind w:left="720" w:hanging="360"/>
        <w:jc w:val="both"/>
      </w:pPr>
      <w:r>
        <w:rPr>
          <w:rFonts w:ascii="Arial" w:hAnsi="Arial"/>
          <w:b w:val="0"/>
          <w:sz w:val="22"/>
        </w:rPr>
        <w:t>Structural Inspection</w:t>
      </w:r>
    </w:p>
    <w:p>
      <w:pPr>
        <w:pStyle w:val="ListBullet"/>
        <w:spacing w:before="0" w:after="0"/>
        <w:ind w:left="720" w:hanging="360"/>
        <w:jc w:val="both"/>
      </w:pPr>
      <w:r>
        <w:rPr>
          <w:rFonts w:ascii="Arial" w:hAnsi="Arial"/>
          <w:b w:val="0"/>
          <w:sz w:val="22"/>
        </w:rPr>
        <w:t>Painting &amp; Coating Inspection</w:t>
      </w:r>
    </w:p>
    <w:p>
      <w:pPr>
        <w:pStyle w:val="ListBullet"/>
        <w:spacing w:before="0" w:after="0"/>
        <w:ind w:left="720" w:hanging="360"/>
        <w:jc w:val="both"/>
      </w:pPr>
      <w:r>
        <w:rPr>
          <w:rFonts w:ascii="Arial" w:hAnsi="Arial"/>
          <w:b w:val="0"/>
          <w:sz w:val="22"/>
        </w:rPr>
        <w:t>Material Inspection</w:t>
      </w:r>
    </w:p>
    <w:p>
      <w:pPr>
        <w:pStyle w:val="ListBullet"/>
        <w:spacing w:before="0" w:after="0"/>
        <w:ind w:left="720" w:hanging="360"/>
        <w:jc w:val="both"/>
      </w:pPr>
      <w:r>
        <w:rPr>
          <w:rFonts w:ascii="Arial" w:hAnsi="Arial"/>
          <w:b w:val="0"/>
          <w:sz w:val="22"/>
        </w:rPr>
        <w:t>Valve Inspection</w:t>
      </w:r>
    </w:p>
    <w:p>
      <w:pPr>
        <w:pStyle w:val="ListBullet"/>
        <w:spacing w:before="0" w:after="0"/>
        <w:ind w:left="720" w:hanging="360"/>
        <w:jc w:val="both"/>
      </w:pPr>
      <w:r>
        <w:rPr>
          <w:rFonts w:ascii="Arial" w:hAnsi="Arial"/>
          <w:b w:val="0"/>
          <w:sz w:val="22"/>
        </w:rPr>
        <w:t>Tank Inspection</w:t>
      </w:r>
    </w:p>
    <w:p>
      <w:pPr>
        <w:pStyle w:val="ListBullet"/>
        <w:spacing w:before="0" w:after="0"/>
        <w:ind w:left="720" w:hanging="360"/>
        <w:jc w:val="both"/>
      </w:pPr>
      <w:r>
        <w:rPr>
          <w:rFonts w:ascii="Arial" w:hAnsi="Arial"/>
          <w:b w:val="0"/>
          <w:sz w:val="22"/>
        </w:rPr>
        <w:t>NDT Coordination</w:t>
      </w:r>
    </w:p>
    <w:p>
      <w:pPr>
        <w:pStyle w:val="ListBullet"/>
        <w:spacing w:before="0" w:after="0"/>
        <w:ind w:left="720" w:hanging="360"/>
        <w:jc w:val="both"/>
      </w:pPr>
      <w:r>
        <w:rPr>
          <w:rFonts w:ascii="Arial" w:hAnsi="Arial"/>
          <w:b w:val="0"/>
          <w:sz w:val="22"/>
        </w:rPr>
        <w:t>Vendor Quality Inspection</w:t>
      </w:r>
    </w:p>
    <w:p>
      <w:pPr>
        <w:pStyle w:val="ListBullet"/>
        <w:spacing w:before="0" w:after="0"/>
        <w:ind w:left="720" w:hanging="360"/>
        <w:jc w:val="both"/>
      </w:pPr>
      <w:r>
        <w:rPr>
          <w:rFonts w:ascii="Arial" w:hAnsi="Arial"/>
          <w:b w:val="0"/>
          <w:sz w:val="22"/>
        </w:rPr>
        <w:t>Skid Base Frame Inspection</w:t>
      </w:r>
    </w:p>
    <w:p>
      <w:pPr>
        <w:pStyle w:val="ListBullet"/>
        <w:spacing w:before="0" w:after="0"/>
        <w:ind w:left="720" w:hanging="360"/>
        <w:jc w:val="both"/>
      </w:pPr>
      <w:r>
        <w:rPr>
          <w:rFonts w:ascii="Arial" w:hAnsi="Arial"/>
          <w:b w:val="0"/>
          <w:sz w:val="22"/>
        </w:rPr>
        <w:t>Documentation &amp; MDR</w:t>
      </w:r>
    </w:p>
    <w:p>
      <w:pPr>
        <w:pStyle w:val="ListBullet"/>
        <w:spacing w:before="0" w:after="0"/>
        <w:ind w:left="720" w:hanging="360"/>
        <w:jc w:val="both"/>
      </w:pPr>
      <w:r>
        <w:rPr>
          <w:rFonts w:ascii="Arial" w:hAnsi="Arial"/>
          <w:b w:val="0"/>
          <w:sz w:val="22"/>
        </w:rPr>
        <w:t>Pressure Vessel Inspection</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Piping</w:t>
      </w:r>
    </w:p>
    <w:p>
      <w:pPr>
        <w:pStyle w:val="ListBullet"/>
        <w:spacing w:before="0" w:after="0"/>
        <w:ind w:left="720" w:hanging="360"/>
        <w:jc w:val="both"/>
      </w:pPr>
      <w:r>
        <w:rPr>
          <w:rFonts w:ascii="Arial" w:hAnsi="Arial"/>
          <w:b w:val="0"/>
          <w:sz w:val="22"/>
        </w:rPr>
        <w:t>Structural Steel</w:t>
      </w:r>
    </w:p>
    <w:p>
      <w:pPr>
        <w:pStyle w:val="ListBullet"/>
        <w:spacing w:before="0" w:after="0"/>
        <w:ind w:left="720" w:hanging="360"/>
        <w:jc w:val="both"/>
      </w:pPr>
      <w:r>
        <w:rPr>
          <w:rFonts w:ascii="Arial" w:hAnsi="Arial"/>
          <w:b w:val="0"/>
          <w:sz w:val="22"/>
        </w:rPr>
        <w:t>Pressure Vessels</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Pumps</w:t>
      </w:r>
    </w:p>
    <w:p>
      <w:pPr>
        <w:pStyle w:val="ListBullet"/>
        <w:spacing w:before="0" w:after="0"/>
        <w:ind w:left="720" w:hanging="360"/>
        <w:jc w:val="both"/>
      </w:pPr>
      <w:r>
        <w:rPr>
          <w:rFonts w:ascii="Arial" w:hAnsi="Arial"/>
          <w:b w:val="0"/>
          <w:sz w:val="22"/>
        </w:rPr>
        <w:t>Castings</w:t>
      </w:r>
    </w:p>
    <w:p>
      <w:pPr>
        <w:pStyle w:val="ListBullet"/>
        <w:spacing w:before="0" w:after="0"/>
        <w:ind w:left="720" w:hanging="360"/>
        <w:jc w:val="both"/>
      </w:pPr>
      <w:r>
        <w:rPr>
          <w:rFonts w:ascii="Arial" w:hAnsi="Arial"/>
          <w:b w:val="0"/>
          <w:sz w:val="22"/>
        </w:rPr>
        <w:t>Spring Supports</w:t>
      </w:r>
    </w:p>
    <w:p>
      <w:pPr>
        <w:pStyle w:val="ListBullet"/>
        <w:spacing w:before="0" w:after="0"/>
        <w:ind w:left="720" w:hanging="360"/>
        <w:jc w:val="both"/>
      </w:pPr>
      <w:r>
        <w:rPr>
          <w:rFonts w:ascii="Arial" w:hAnsi="Arial"/>
          <w:b w:val="0"/>
          <w:sz w:val="22"/>
        </w:rPr>
        <w:t>Piping Spools</w:t>
      </w:r>
    </w:p>
    <w:p>
      <w:pPr>
        <w:pStyle w:val="ListBullet"/>
        <w:spacing w:before="0" w:after="0"/>
        <w:ind w:left="720" w:hanging="360"/>
        <w:jc w:val="both"/>
      </w:pPr>
      <w:r>
        <w:rPr>
          <w:rFonts w:ascii="Arial" w:hAnsi="Arial"/>
          <w:b w:val="0"/>
          <w:sz w:val="22"/>
        </w:rPr>
        <w:t>Storage Tanks</w:t>
      </w:r>
    </w:p>
    <w:p>
      <w:pPr>
        <w:pStyle w:val="ListBullet"/>
        <w:spacing w:before="0" w:after="0"/>
        <w:ind w:left="720" w:hanging="360"/>
        <w:jc w:val="both"/>
      </w:pPr>
      <w:r>
        <w:rPr>
          <w:rFonts w:ascii="Arial" w:hAnsi="Arial"/>
          <w:b w:val="0"/>
          <w:sz w:val="22"/>
        </w:rPr>
        <w:t>Underground Tanks</w:t>
      </w:r>
    </w:p>
    <w:p>
      <w:pPr>
        <w:pStyle w:val="ListBullet"/>
        <w:spacing w:before="0" w:after="0"/>
        <w:ind w:left="720" w:hanging="360"/>
        <w:jc w:val="both"/>
      </w:pPr>
      <w:r>
        <w:rPr>
          <w:rFonts w:ascii="Arial" w:hAnsi="Arial"/>
          <w:b w:val="0"/>
          <w:sz w:val="22"/>
        </w:rPr>
        <w:t>Acid Tanks</w:t>
      </w:r>
    </w:p>
    <w:p>
      <w:pPr>
        <w:pStyle w:val="ListBullet"/>
        <w:spacing w:before="0" w:after="0"/>
        <w:ind w:left="720" w:hanging="360"/>
        <w:jc w:val="both"/>
      </w:pPr>
      <w:r>
        <w:rPr>
          <w:rFonts w:ascii="Arial" w:hAnsi="Arial"/>
          <w:b w:val="0"/>
          <w:sz w:val="22"/>
        </w:rPr>
        <w:t>Skid Base Frames</w:t>
      </w:r>
    </w:p>
    <w:p>
      <w:pPr>
        <w:pStyle w:val="ListBullet"/>
        <w:spacing w:before="0" w:after="0"/>
        <w:ind w:left="720" w:hanging="360"/>
        <w:jc w:val="both"/>
      </w:pPr>
      <w:r>
        <w:rPr>
          <w:rFonts w:ascii="Arial" w:hAnsi="Arial"/>
          <w:b w:val="0"/>
          <w:sz w:val="22"/>
        </w:rPr>
        <w:t>Skids</w:t>
      </w:r>
    </w:p>
    <w:p>
      <w:pPr>
        <w:pStyle w:val="ListBullet"/>
        <w:spacing w:before="0" w:after="0"/>
        <w:ind w:left="720" w:hanging="360"/>
        <w:jc w:val="both"/>
      </w:pPr>
      <w:r>
        <w:rPr>
          <w:rFonts w:ascii="Arial" w:hAnsi="Arial"/>
          <w:b w:val="0"/>
          <w:sz w:val="22"/>
        </w:rPr>
        <w:t>Plates</w:t>
      </w:r>
    </w:p>
    <w:p>
      <w:pPr>
        <w:pStyle w:val="ListBullet"/>
        <w:spacing w:before="0" w:after="0"/>
        <w:ind w:left="720" w:hanging="360"/>
        <w:jc w:val="both"/>
      </w:pPr>
      <w:r>
        <w:rPr>
          <w:rFonts w:ascii="Arial" w:hAnsi="Arial"/>
          <w:b w:val="0"/>
          <w:sz w:val="22"/>
        </w:rPr>
        <w:t>Beams</w:t>
      </w:r>
    </w:p>
    <w:p>
      <w:pPr>
        <w:pStyle w:val="ListBullet"/>
        <w:spacing w:before="0" w:after="0"/>
        <w:ind w:left="720" w:hanging="360"/>
        <w:jc w:val="both"/>
      </w:pPr>
      <w:r>
        <w:rPr>
          <w:rFonts w:ascii="Arial" w:hAnsi="Arial"/>
          <w:b w:val="0"/>
          <w:sz w:val="22"/>
        </w:rPr>
        <w:t>Channels</w:t>
      </w:r>
    </w:p>
    <w:p>
      <w:pPr>
        <w:pStyle w:val="ListBullet"/>
        <w:spacing w:before="0" w:after="0"/>
        <w:ind w:left="720" w:hanging="360"/>
        <w:jc w:val="both"/>
      </w:pPr>
      <w:r>
        <w:rPr>
          <w:rFonts w:ascii="Arial" w:hAnsi="Arial"/>
          <w:b w:val="0"/>
          <w:sz w:val="22"/>
        </w:rPr>
        <w:t>Fittings</w:t>
      </w:r>
    </w:p>
    <w:p>
      <w:pPr>
        <w:pStyle w:val="ListBullet"/>
        <w:spacing w:before="0" w:after="0"/>
        <w:ind w:left="720" w:hanging="360"/>
        <w:jc w:val="both"/>
      </w:pPr>
      <w:r>
        <w:rPr>
          <w:rFonts w:ascii="Arial" w:hAnsi="Arial"/>
          <w:b w:val="0"/>
          <w:sz w:val="22"/>
        </w:rPr>
        <w:t>Fasteners</w:t>
      </w:r>
    </w:p>
    <w:p>
      <w:pPr>
        <w:pStyle w:val="ListBullet"/>
        <w:spacing w:before="0" w:after="0"/>
        <w:ind w:left="720" w:hanging="360"/>
        <w:jc w:val="both"/>
      </w:pPr>
      <w:r>
        <w:rPr>
          <w:rFonts w:ascii="Arial" w:hAnsi="Arial"/>
          <w:b w:val="0"/>
          <w:sz w:val="22"/>
        </w:rPr>
        <w:t>Gaskets</w:t>
      </w:r>
    </w:p>
    <w:p>
      <w:pPr>
        <w:pStyle w:val="ListBullet"/>
        <w:spacing w:before="0" w:after="0"/>
        <w:ind w:left="720" w:hanging="360"/>
        <w:jc w:val="both"/>
      </w:pPr>
      <w:r>
        <w:rPr>
          <w:rFonts w:ascii="Arial" w:hAnsi="Arial"/>
          <w:b w:val="0"/>
          <w:sz w:val="22"/>
        </w:rPr>
        <w:t>Instruments</w:t>
      </w:r>
    </w:p>
    <w:p>
      <w:pPr>
        <w:pStyle w:val="ListBullet"/>
        <w:spacing w:before="0" w:after="0"/>
        <w:ind w:left="720" w:hanging="360"/>
        <w:jc w:val="both"/>
      </w:pPr>
      <w:r>
        <w:rPr>
          <w:rFonts w:ascii="Arial" w:hAnsi="Arial"/>
          <w:b w:val="0"/>
          <w:sz w:val="22"/>
        </w:rPr>
        <w:t>GRE/GRP Piping</w:t>
      </w:r>
    </w:p>
    <w:p>
      <w:pPr>
        <w:pStyle w:val="ListBullet"/>
        <w:spacing w:before="0" w:after="0"/>
        <w:ind w:left="720" w:hanging="360"/>
        <w:jc w:val="both"/>
      </w:pPr>
      <w:r>
        <w:rPr>
          <w:rFonts w:ascii="Arial" w:hAnsi="Arial"/>
          <w:b w:val="0"/>
          <w:sz w:val="22"/>
        </w:rPr>
        <w:t>HDPE Piping</w:t>
      </w:r>
    </w:p>
    <w:p>
      <w:pPr>
        <w:pStyle w:val="ListBullet"/>
        <w:spacing w:before="0" w:after="0"/>
        <w:ind w:left="720" w:hanging="360"/>
        <w:jc w:val="both"/>
      </w:pPr>
      <w:r>
        <w:rPr>
          <w:rFonts w:ascii="Arial" w:hAnsi="Arial"/>
          <w:b w:val="0"/>
          <w:sz w:val="22"/>
        </w:rPr>
        <w:t>Alloy Piping</w:t>
      </w:r>
    </w:p>
    <w:p>
      <w:pPr>
        <w:pStyle w:val="ListBullet"/>
        <w:spacing w:before="0" w:after="0"/>
        <w:ind w:left="720" w:hanging="360"/>
        <w:jc w:val="both"/>
      </w:pPr>
      <w:r>
        <w:rPr>
          <w:rFonts w:ascii="Arial" w:hAnsi="Arial"/>
          <w:b w:val="0"/>
          <w:sz w:val="22"/>
        </w:rPr>
        <w:t>Coating Materials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